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400"/>
        <w:jc w:val="center"/>
      </w:pPr>
      <w:r>
        <w:drawing>
          <wp:inline distT="0" distB="0" distL="0" distR="0">
            <wp:extent cx="142875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428750" cy="1428750"/>
                    </a:xfrm>
                    <a:prstGeom prst="rect">
                      <a:avLst/>
                    </a:prstGeom>
                  </pic:spPr>
                </pic:pic>
              </a:graphicData>
            </a:graphic>
          </wp:inline>
        </w:drawing>
      </w:r>
    </w:p>
    <w:p>
      <w:pPr>
        <w:spacing w:after="80" w:before="300"/>
        <w:jc w:val="center"/>
      </w:pPr>
      <w:r>
        <w:rPr>
          <w:rFonts w:ascii="Consolas" w:cs="Consolas" w:eastAsia="Consolas" w:hAnsi="Consolas"/>
          <w:b/>
          <w:bCs/>
          <w:color w:val="B8892E"/>
          <w:spacing w:val="30"/>
          <w:sz w:val="18"/>
          <w:szCs w:val="18"/>
        </w:rPr>
        <w:t xml:space="preserve">A GEN Z-INITIATED, PEACEFUL &amp; CONSTITUTIONAL REFORM MOVEMENT</w:t>
      </w:r>
    </w:p>
    <w:p>
      <w:pPr>
        <w:spacing w:after="0" w:before="0"/>
        <w:jc w:val="center"/>
      </w:pPr>
      <w:r>
        <w:rPr>
          <w:rFonts w:ascii="Georgia" w:cs="Georgia" w:eastAsia="Georgia" w:hAnsi="Georgia"/>
          <w:b/>
          <w:bCs/>
          <w:color w:val="0B3D26"/>
          <w:sz w:val="58"/>
          <w:szCs w:val="58"/>
        </w:rPr>
        <w:t xml:space="preserve">PAKISTAN</w:t>
      </w:r>
    </w:p>
    <w:p>
      <w:pPr>
        <w:spacing w:after="60" w:before="0"/>
        <w:jc w:val="center"/>
      </w:pPr>
      <w:r>
        <w:rPr>
          <w:rFonts w:ascii="Georgia" w:cs="Georgia" w:eastAsia="Georgia" w:hAnsi="Georgia"/>
          <w:b/>
          <w:bCs/>
          <w:color w:val="0B3D26"/>
          <w:sz w:val="58"/>
          <w:szCs w:val="58"/>
        </w:rPr>
        <w:t xml:space="preserve">COCKROACH PARTY</w:t>
      </w:r>
    </w:p>
    <w:p>
      <w:pPr>
        <w:spacing w:after="260" w:before="0"/>
        <w:jc w:val="center"/>
      </w:pPr>
      <w:r>
        <w:rPr>
          <w:rFonts w:ascii="Georgia" w:cs="Georgia" w:eastAsia="Georgia" w:hAnsi="Georgia"/>
          <w:b/>
          <w:bCs/>
          <w:color w:val="C9A227"/>
          <w:sz w:val="30"/>
          <w:szCs w:val="30"/>
        </w:rPr>
        <w:t xml:space="preserve">MOVEMENT MANUAL</w:t>
      </w:r>
    </w:p>
    <w:p>
      <w:pPr>
        <w:pBdr>
          <w:top w:val="single" w:color="B8892E" w:sz="4"/>
          <w:bottom w:val="single" w:color="B8892E" w:sz="4"/>
        </w:pBdr>
        <w:spacing w:after="40" w:before="0"/>
        <w:jc w:val="center"/>
      </w:pPr>
      <w:r>
        <w:rPr>
          <w:rFonts w:ascii="Georgia" w:cs="Georgia" w:eastAsia="Georgia" w:hAnsi="Georgia"/>
          <w:i/>
          <w:iCs/>
          <w:color w:val="12241C"/>
          <w:sz w:val="24"/>
          <w:szCs w:val="24"/>
        </w:rPr>
        <w:t xml:space="preserve">We Will Change the System, Pakistan Will Change</w:t>
      </w:r>
    </w:p>
    <w:p>
      <w:pPr>
        <w:spacing w:after="0" w:before="320"/>
        <w:jc w:val="center"/>
      </w:pPr>
      <w:r>
        <w:rPr>
          <w:rFonts w:ascii="Consolas" w:cs="Consolas" w:eastAsia="Consolas" w:hAnsi="Consolas"/>
          <w:color w:val="45564A"/>
          <w:sz w:val="18"/>
          <w:szCs w:val="18"/>
        </w:rPr>
        <w:t xml:space="preserve">FULL FORM · DRAFT 1.0 · JULY 2026 · ISSUED FOR PUBLIC CONSULTATION</w:t>
      </w:r>
    </w:p>
    <w:p>
      <w:r>
        <w:br w:type="page"/>
      </w:r>
    </w:p>
    <w:tbl>
      <w:tblPr>
        <w:tblW w:type="pct" w:w="100%"/>
        <w:tblBorders>
          <w:top w:val="none"/>
          <w:left w:val="none"/>
          <w:bottom w:val="none"/>
          <w:right w:val="none"/>
          <w:insideH w:val="none"/>
          <w:insideV w:val="none"/>
        </w:tblBorders>
      </w:tblPr>
      <w:tblGrid>
        <w:gridCol w:w="100"/>
      </w:tblGrid>
      <w:tr>
        <w:tc>
          <w:tcPr>
            <w:shd w:fill="F4E6DE" w:val="clear"/>
            <w:tcMar>
              <w:top w:type="dxa" w:w="200"/>
              <w:left w:type="dxa" w:w="240"/>
              <w:bottom w:type="dxa" w:w="200"/>
              <w:right w:type="dxa" w:w="240"/>
            </w:tcMar>
          </w:tcPr>
          <w:p>
            <w:r>
              <w:rPr>
                <w:rFonts w:ascii="Consolas" w:cs="Consolas" w:eastAsia="Consolas" w:hAnsi="Consolas"/>
                <w:b/>
                <w:bCs/>
                <w:color w:val="8A2E21"/>
                <w:sz w:val="18"/>
                <w:szCs w:val="18"/>
              </w:rPr>
              <w:t xml:space="preserve">DOCUMENT STATUS — </w:t>
            </w:r>
            <w:r>
              <w:rPr>
                <w:rFonts w:ascii="Calibri" w:cs="Calibri" w:eastAsia="Calibri" w:hAnsi="Calibri"/>
                <w:color w:val="12241C"/>
                <w:sz w:val="20"/>
                <w:szCs w:val="20"/>
              </w:rPr>
              <w:t xml:space="preserve">This is a policy and organisational draft. It requires approval by PCP's authorised council, legal review under applicable Pakistani law, and public consultation before adoption as a final governing document.</w:t>
            </w:r>
          </w:p>
        </w:tc>
      </w:tr>
    </w:tbl>
    <w:p>
      <w:pPr>
        <w:spacing w:after="300"/>
      </w:pPr>
    </w:p>
    <w:p>
      <w:pPr>
        <w:spacing w:after="40" w:before="60"/>
      </w:pPr>
      <w:r>
        <w:rPr>
          <w:rFonts w:ascii="Consolas" w:cs="Consolas" w:eastAsia="Consolas" w:hAnsi="Consolas"/>
          <w:b/>
          <w:bCs/>
          <w:color w:val="B8892E"/>
          <w:spacing w:val="16"/>
          <w:sz w:val="16"/>
          <w:szCs w:val="16"/>
        </w:rPr>
        <w:t xml:space="preserve">CONTENTS</w:t>
      </w:r>
    </w:p>
    <w:p>
      <w:pPr>
        <w:pStyle w:val="Heading2"/>
        <w:pBdr>
          <w:bottom w:val="single" w:color="C9A227" w:sz="4"/>
        </w:pBdr>
        <w:spacing w:after="120" w:before="320"/>
      </w:pPr>
      <w:r>
        <w:rPr>
          <w:rFonts w:ascii="Georgia" w:cs="Georgia" w:eastAsia="Georgia" w:hAnsi="Georgia"/>
          <w:b/>
          <w:bCs/>
          <w:color w:val="0B3D26"/>
          <w:sz w:val="27"/>
          <w:szCs w:val="27"/>
        </w:rPr>
        <w:t xml:space="preserve">What's in this manual</w:t>
      </w:r>
    </w:p>
    <w:p>
      <w:pPr>
        <w:pStyle w:val="ListParagraph"/>
        <w:numPr>
          <w:ilvl w:val="0"/>
          <w:numId w:val="2"/>
        </w:numPr>
        <w:spacing w:after="90"/>
      </w:pPr>
      <w:r>
        <w:rPr>
          <w:rFonts w:ascii="Calibri" w:cs="Calibri" w:eastAsia="Calibri" w:hAnsi="Calibri"/>
          <w:b w:val="false"/>
          <w:bCs w:val="false"/>
          <w:color w:val="12241C"/>
          <w:sz w:val="21"/>
          <w:szCs w:val="21"/>
        </w:rPr>
        <w:t xml:space="preserve">Part I — Identity, diagnosis, vision, mission and ten-point manifesto</w:t>
      </w:r>
    </w:p>
    <w:p>
      <w:pPr>
        <w:pStyle w:val="ListParagraph"/>
        <w:numPr>
          <w:ilvl w:val="0"/>
          <w:numId w:val="2"/>
        </w:numPr>
        <w:spacing w:after="90"/>
      </w:pPr>
      <w:r>
        <w:rPr>
          <w:rFonts w:ascii="Calibri" w:cs="Calibri" w:eastAsia="Calibri" w:hAnsi="Calibri"/>
          <w:b w:val="false"/>
          <w:bCs w:val="false"/>
          <w:color w:val="12241C"/>
          <w:sz w:val="21"/>
          <w:szCs w:val="21"/>
        </w:rPr>
        <w:t xml:space="preserve">Part II — Five national demands and measurable reform commitments</w:t>
      </w:r>
    </w:p>
    <w:p>
      <w:pPr>
        <w:pStyle w:val="ListParagraph"/>
        <w:numPr>
          <w:ilvl w:val="0"/>
          <w:numId w:val="2"/>
        </w:numPr>
        <w:spacing w:after="90"/>
      </w:pPr>
      <w:r>
        <w:rPr>
          <w:rFonts w:ascii="Calibri" w:cs="Calibri" w:eastAsia="Calibri" w:hAnsi="Calibri"/>
          <w:b w:val="false"/>
          <w:bCs w:val="false"/>
          <w:color w:val="12241C"/>
          <w:sz w:val="21"/>
          <w:szCs w:val="21"/>
        </w:rPr>
        <w:t xml:space="preserve">Part III — Governance, membership, leadership and local chapters</w:t>
      </w:r>
    </w:p>
    <w:p>
      <w:pPr>
        <w:pStyle w:val="ListParagraph"/>
        <w:numPr>
          <w:ilvl w:val="0"/>
          <w:numId w:val="2"/>
        </w:numPr>
        <w:spacing w:after="90"/>
      </w:pPr>
      <w:r>
        <w:rPr>
          <w:rFonts w:ascii="Calibri" w:cs="Calibri" w:eastAsia="Calibri" w:hAnsi="Calibri"/>
          <w:b w:val="false"/>
          <w:bCs w:val="false"/>
          <w:color w:val="12241C"/>
          <w:sz w:val="21"/>
          <w:szCs w:val="21"/>
        </w:rPr>
        <w:t xml:space="preserve">Part IV — Ethics, communication, finance, data and safe participation</w:t>
      </w:r>
    </w:p>
    <w:p>
      <w:pPr>
        <w:pStyle w:val="ListParagraph"/>
        <w:numPr>
          <w:ilvl w:val="0"/>
          <w:numId w:val="2"/>
        </w:numPr>
        <w:spacing w:after="90"/>
      </w:pPr>
      <w:r>
        <w:rPr>
          <w:rFonts w:ascii="Calibri" w:cs="Calibri" w:eastAsia="Calibri" w:hAnsi="Calibri"/>
          <w:b w:val="false"/>
          <w:bCs w:val="false"/>
          <w:color w:val="12241C"/>
          <w:sz w:val="21"/>
          <w:szCs w:val="21"/>
        </w:rPr>
        <w:t xml:space="preserve">Part V — Twelve-month launch roadmap and public accountability</w:t>
      </w:r>
    </w:p>
    <w:p>
      <w:pPr>
        <w:pStyle w:val="ListParagraph"/>
        <w:numPr>
          <w:ilvl w:val="0"/>
          <w:numId w:val="2"/>
        </w:numPr>
        <w:spacing w:after="90"/>
      </w:pPr>
      <w:r>
        <w:rPr>
          <w:rFonts w:ascii="Calibri" w:cs="Calibri" w:eastAsia="Calibri" w:hAnsi="Calibri"/>
          <w:b w:val="false"/>
          <w:bCs w:val="false"/>
          <w:color w:val="12241C"/>
          <w:sz w:val="21"/>
          <w:szCs w:val="21"/>
        </w:rPr>
        <w:t xml:space="preserve">Appendices — Member pledge, chapter charter, meeting, content, finance and incident templates</w:t>
      </w:r>
    </w:p>
    <w:p>
      <w:r>
        <w:br w:type="page"/>
      </w:r>
    </w:p>
    <w:tbl>
      <w:tblPr>
        <w:tblW w:type="pct" w:w="100%"/>
        <w:tblBorders>
          <w:top w:val="none"/>
          <w:left w:val="none"/>
          <w:bottom w:val="none"/>
          <w:right w:val="none"/>
          <w:insideH w:val="none"/>
          <w:insideV w:val="none"/>
        </w:tblBorders>
      </w:tblPr>
      <w:tblGrid>
        <w:gridCol w:w="100"/>
      </w:tblGrid>
      <w:tr>
        <w:tc>
          <w:tcPr>
            <w:shd w:fill="0B3D26" w:val="clear"/>
            <w:tcMar>
              <w:top w:type="dxa" w:w="260"/>
              <w:left w:type="dxa" w:w="260"/>
              <w:bottom w:type="dxa" w:w="260"/>
              <w:right w:type="dxa" w:w="260"/>
            </w:tcMar>
          </w:tcPr>
          <w:p>
            <w:pPr>
              <w:spacing w:after="60"/>
            </w:pPr>
            <w:r>
              <w:rPr>
                <w:rFonts w:ascii="Consolas" w:cs="Consolas" w:eastAsia="Consolas" w:hAnsi="Consolas"/>
                <w:b/>
                <w:bCs/>
                <w:color w:val="C9A227"/>
                <w:spacing w:val="20"/>
                <w:sz w:val="18"/>
                <w:szCs w:val="18"/>
              </w:rPr>
              <w:t xml:space="preserve">PART I</w:t>
            </w:r>
          </w:p>
          <w:p>
            <w:pPr>
              <w:pStyle w:val="Heading1"/>
              <w:spacing w:after="100"/>
            </w:pPr>
            <w:r>
              <w:rPr>
                <w:rFonts w:ascii="Georgia" w:cs="Georgia" w:eastAsia="Georgia" w:hAnsi="Georgia"/>
                <w:b/>
                <w:bCs/>
                <w:color w:val="FFFFFF"/>
                <w:sz w:val="40"/>
                <w:szCs w:val="40"/>
              </w:rPr>
              <w:t xml:space="preserve">Identity and Manifesto</w:t>
            </w:r>
          </w:p>
          <w:p>
            <w:r>
              <w:rPr>
                <w:rFonts w:ascii="Calibri" w:cs="Calibri" w:eastAsia="Calibri" w:hAnsi="Calibri"/>
                <w:color w:val="F6F1E4"/>
                <w:sz w:val="21"/>
                <w:szCs w:val="21"/>
              </w:rPr>
              <w:t xml:space="preserve">Pakistan does not need another personality cult. It needs an accountable system that works for every citizen.</w:t>
            </w:r>
          </w:p>
        </w:tc>
      </w:tr>
    </w:tbl>
    <w:p>
      <w:pPr>
        <w:spacing w:after="200"/>
      </w:pPr>
    </w:p>
    <w:p>
      <w:pPr>
        <w:pStyle w:val="Heading2"/>
        <w:pBdr>
          <w:bottom w:val="single" w:color="C9A227" w:sz="4"/>
        </w:pBdr>
        <w:spacing w:after="120" w:before="320"/>
      </w:pPr>
      <w:r>
        <w:rPr>
          <w:rFonts w:ascii="Georgia" w:cs="Georgia" w:eastAsia="Georgia" w:hAnsi="Georgia"/>
          <w:b/>
          <w:bCs/>
          <w:color w:val="0B3D26"/>
          <w:sz w:val="27"/>
          <w:szCs w:val="27"/>
        </w:rPr>
        <w:t xml:space="preserve">1. Our Diagnosis: The System Produces the Problems</w:t>
      </w:r>
    </w:p>
    <w:p>
      <w:pPr>
        <w:spacing w:after="160"/>
        <w:jc w:val="left"/>
      </w:pPr>
      <w:r>
        <w:rPr>
          <w:rFonts w:ascii="Calibri" w:cs="Calibri" w:eastAsia="Calibri" w:hAnsi="Calibri"/>
          <w:b w:val="false"/>
          <w:bCs w:val="false"/>
          <w:i/>
          <w:iCs/>
          <w:color w:val="12241C"/>
          <w:sz w:val="22"/>
          <w:szCs w:val="22"/>
        </w:rPr>
        <w:t xml:space="preserve">Every few months, someone announces relief. The price drops for a season. The bill gets a subsidy. Then it comes back — worse. That's not bad luck. That's a system with no memory and no consequences.</w:t>
      </w:r>
    </w:p>
    <w:p>
      <w:pPr>
        <w:spacing w:after="160"/>
        <w:jc w:val="left"/>
      </w:pPr>
      <w:r>
        <w:rPr>
          <w:rFonts w:ascii="Calibri" w:cs="Calibri" w:eastAsia="Calibri" w:hAnsi="Calibri"/>
          <w:b w:val="false"/>
          <w:bCs w:val="false"/>
          <w:i w:val="false"/>
          <w:iCs w:val="false"/>
          <w:color w:val="12241C"/>
          <w:sz w:val="21"/>
          <w:szCs w:val="21"/>
        </w:rPr>
        <w:t xml:space="preserve">Pakistanis repeatedly face inflation, low incomes, unemployment, expensive electricity, weak education, unequal justice, corruption and poor public services. Individual relief schemes may temporarily reduce pressure, but the same failures return when decisions remain opaque, appointments ignore merit, institutions avoid measurement and ordinary citizens cannot obtain timely answers.</w:t>
      </w:r>
    </w:p>
    <w:p>
      <w:pPr>
        <w:spacing w:after="160"/>
        <w:jc w:val="left"/>
      </w:pPr>
      <w:r>
        <w:rPr>
          <w:rFonts w:ascii="Calibri" w:cs="Calibri" w:eastAsia="Calibri" w:hAnsi="Calibri"/>
          <w:b w:val="false"/>
          <w:bCs w:val="false"/>
          <w:i w:val="false"/>
          <w:iCs w:val="false"/>
          <w:color w:val="12241C"/>
          <w:sz w:val="21"/>
          <w:szCs w:val="21"/>
        </w:rPr>
        <w:t xml:space="preserve">PCP identifies four recurring structural failures. Reform must strengthen institutions through law, competence, independence and public trust — not weaken or humiliate them.</w:t>
      </w:r>
    </w:p>
    <w:p>
      <w:pPr>
        <w:pStyle w:val="ListParagraph"/>
        <w:numPr>
          <w:ilvl w:val="0"/>
          <w:numId w:val="2"/>
        </w:numPr>
        <w:spacing w:after="90"/>
      </w:pPr>
      <w:r>
        <w:rPr>
          <w:rFonts w:ascii="Calibri" w:cs="Calibri" w:eastAsia="Calibri" w:hAnsi="Calibri"/>
          <w:b w:val="false"/>
          <w:bCs w:val="false"/>
          <w:color w:val="12241C"/>
          <w:sz w:val="21"/>
          <w:szCs w:val="21"/>
        </w:rPr>
        <w:t xml:space="preserve">Power without proportionate accountability.</w:t>
      </w:r>
    </w:p>
    <w:p>
      <w:pPr>
        <w:pStyle w:val="ListParagraph"/>
        <w:numPr>
          <w:ilvl w:val="0"/>
          <w:numId w:val="2"/>
        </w:numPr>
        <w:spacing w:after="90"/>
      </w:pPr>
      <w:r>
        <w:rPr>
          <w:rFonts w:ascii="Calibri" w:cs="Calibri" w:eastAsia="Calibri" w:hAnsi="Calibri"/>
          <w:b w:val="false"/>
          <w:bCs w:val="false"/>
          <w:color w:val="12241C"/>
          <w:sz w:val="21"/>
          <w:szCs w:val="21"/>
        </w:rPr>
        <w:t xml:space="preserve">Personal connection taking priority over merit.</w:t>
      </w:r>
    </w:p>
    <w:p>
      <w:pPr>
        <w:pStyle w:val="ListParagraph"/>
        <w:numPr>
          <w:ilvl w:val="0"/>
          <w:numId w:val="2"/>
        </w:numPr>
        <w:spacing w:after="90"/>
      </w:pPr>
      <w:r>
        <w:rPr>
          <w:rFonts w:ascii="Calibri" w:cs="Calibri" w:eastAsia="Calibri" w:hAnsi="Calibri"/>
          <w:b w:val="false"/>
          <w:bCs w:val="false"/>
          <w:color w:val="12241C"/>
          <w:sz w:val="21"/>
          <w:szCs w:val="21"/>
        </w:rPr>
        <w:t xml:space="preserve">Public money and decisions hidden from meaningful scrutiny.</w:t>
      </w:r>
    </w:p>
    <w:p>
      <w:pPr>
        <w:pStyle w:val="ListParagraph"/>
        <w:numPr>
          <w:ilvl w:val="0"/>
          <w:numId w:val="2"/>
        </w:numPr>
        <w:spacing w:after="90"/>
      </w:pPr>
      <w:r>
        <w:rPr>
          <w:rFonts w:ascii="Calibri" w:cs="Calibri" w:eastAsia="Calibri" w:hAnsi="Calibri"/>
          <w:b w:val="false"/>
          <w:bCs w:val="false"/>
          <w:color w:val="12241C"/>
          <w:sz w:val="21"/>
          <w:szCs w:val="21"/>
        </w:rPr>
        <w:t xml:space="preserve">Insufficient citizen participation between elections.</w:t>
      </w:r>
    </w:p>
    <w:p>
      <w:pPr>
        <w:pStyle w:val="Heading2"/>
        <w:pBdr>
          <w:bottom w:val="single" w:color="C9A227" w:sz="4"/>
        </w:pBdr>
        <w:spacing w:after="120" w:before="320"/>
      </w:pPr>
      <w:r>
        <w:rPr>
          <w:rFonts w:ascii="Georgia" w:cs="Georgia" w:eastAsia="Georgia" w:hAnsi="Georgia"/>
          <w:b/>
          <w:bCs/>
          <w:color w:val="0B3D26"/>
          <w:sz w:val="27"/>
          <w:szCs w:val="27"/>
        </w:rPr>
        <w:t xml:space="preserve">2. Why the Cockroach?</w:t>
      </w:r>
    </w:p>
    <w:p>
      <w:pPr>
        <w:spacing w:after="160"/>
        <w:jc w:val="left"/>
      </w:pPr>
      <w:r>
        <w:rPr>
          <w:rFonts w:ascii="Calibri" w:cs="Calibri" w:eastAsia="Calibri" w:hAnsi="Calibri"/>
          <w:b w:val="false"/>
          <w:bCs w:val="false"/>
          <w:i w:val="false"/>
          <w:iCs w:val="false"/>
          <w:color w:val="12241C"/>
          <w:sz w:val="21"/>
          <w:szCs w:val="21"/>
        </w:rPr>
        <w:t xml:space="preserve">They've called this generation lazy, entitled, obsessed with leaving. Fine. Here's what's true instead: we grew up doing homework by candlelight during load-shedding, learned new skills from a phone with two bars of signal, and are still here — still applying, still building, still arguing for a better Pakistan instead of just booking the visa appointment.</w:t>
      </w:r>
    </w:p>
    <w:p>
      <w:pPr>
        <w:spacing w:after="160"/>
        <w:jc w:val="left"/>
      </w:pPr>
      <w:r>
        <w:rPr>
          <w:rFonts w:ascii="Calibri" w:cs="Calibri" w:eastAsia="Calibri" w:hAnsi="Calibri"/>
          <w:b w:val="false"/>
          <w:bCs w:val="false"/>
          <w:i w:val="false"/>
          <w:iCs w:val="false"/>
          <w:color w:val="12241C"/>
          <w:sz w:val="21"/>
          <w:szCs w:val="21"/>
        </w:rPr>
        <w:t xml:space="preserve">The cockroach is deliberately unconventional. It reflects a generation that inherited repeated crises, limited opportunity and dysfunctional systems yet continues to learn, work, adapt and survive. It turns an insult into a badge of persistence and a serious demand for reform.</w:t>
      </w:r>
    </w:p>
    <w:p>
      <w:pPr>
        <w:pStyle w:val="ListParagraph"/>
        <w:numPr>
          <w:ilvl w:val="0"/>
          <w:numId w:val="2"/>
        </w:numPr>
        <w:spacing w:after="90"/>
      </w:pPr>
      <w:r>
        <w:rPr>
          <w:rFonts w:ascii="Calibri" w:cs="Calibri" w:eastAsia="Calibri" w:hAnsi="Calibri"/>
          <w:b w:val="false"/>
          <w:bCs w:val="false"/>
          <w:color w:val="12241C"/>
          <w:sz w:val="21"/>
          <w:szCs w:val="21"/>
        </w:rPr>
        <w:t xml:space="preserve">Survival — remaining active and hopeful during economic and institutional crisis.</w:t>
      </w:r>
    </w:p>
    <w:p>
      <w:pPr>
        <w:pStyle w:val="ListParagraph"/>
        <w:numPr>
          <w:ilvl w:val="0"/>
          <w:numId w:val="2"/>
        </w:numPr>
        <w:spacing w:after="90"/>
      </w:pPr>
      <w:r>
        <w:rPr>
          <w:rFonts w:ascii="Calibri" w:cs="Calibri" w:eastAsia="Calibri" w:hAnsi="Calibri"/>
          <w:b w:val="false"/>
          <w:bCs w:val="false"/>
          <w:color w:val="12241C"/>
          <w:sz w:val="21"/>
          <w:szCs w:val="21"/>
        </w:rPr>
        <w:t xml:space="preserve">Adaptability — learning new skills, technology and better ways of organising.</w:t>
      </w:r>
    </w:p>
    <w:p>
      <w:pPr>
        <w:pStyle w:val="ListParagraph"/>
        <w:numPr>
          <w:ilvl w:val="0"/>
          <w:numId w:val="2"/>
        </w:numPr>
        <w:spacing w:after="90"/>
      </w:pPr>
      <w:r>
        <w:rPr>
          <w:rFonts w:ascii="Calibri" w:cs="Calibri" w:eastAsia="Calibri" w:hAnsi="Calibri"/>
          <w:b w:val="false"/>
          <w:bCs w:val="false"/>
          <w:color w:val="12241C"/>
          <w:sz w:val="21"/>
          <w:szCs w:val="21"/>
        </w:rPr>
        <w:t xml:space="preserve">Persistence — refusing to accept injustice or incompetence as permanent.</w:t>
      </w:r>
    </w:p>
    <w:p>
      <w:pPr>
        <w:pStyle w:val="ListParagraph"/>
        <w:numPr>
          <w:ilvl w:val="0"/>
          <w:numId w:val="2"/>
        </w:numPr>
        <w:spacing w:after="90"/>
      </w:pPr>
      <w:r>
        <w:rPr>
          <w:rFonts w:ascii="Calibri" w:cs="Calibri" w:eastAsia="Calibri" w:hAnsi="Calibri"/>
          <w:b w:val="false"/>
          <w:bCs w:val="false"/>
          <w:color w:val="12241C"/>
          <w:sz w:val="21"/>
          <w:szCs w:val="21"/>
        </w:rPr>
        <w:t xml:space="preserve">Self-accountability — cleaning our own organisation before criticising others.</w:t>
      </w:r>
    </w:p>
    <w:tbl>
      <w:tblPr>
        <w:tblW w:type="pct" w:w="100%"/>
        <w:tblBorders>
          <w:top w:val="none"/>
          <w:left w:val="none"/>
          <w:bottom w:val="none"/>
          <w:right w:val="none"/>
          <w:insideH w:val="none"/>
          <w:insideV w:val="none"/>
        </w:tblBorders>
      </w:tblPr>
      <w:tblGrid>
        <w:gridCol w:w="100"/>
      </w:tblGrid>
      <w:tr>
        <w:tc>
          <w:tcPr>
            <w:shd w:fill="E7EFE9" w:val="clear"/>
            <w:tcMar>
              <w:top w:type="dxa" w:w="200"/>
              <w:left w:type="dxa" w:w="240"/>
              <w:bottom w:type="dxa" w:w="200"/>
              <w:right w:type="dxa" w:w="240"/>
            </w:tcMar>
          </w:tcPr>
          <w:p>
            <w:r>
              <w:rPr>
                <w:rFonts w:ascii="Consolas" w:cs="Consolas" w:eastAsia="Consolas" w:hAnsi="Consolas"/>
                <w:b/>
                <w:bCs/>
                <w:color w:val="0B3D26"/>
                <w:sz w:val="18"/>
                <w:szCs w:val="18"/>
              </w:rPr>
              <w:t xml:space="preserve">SYMBOL PROTECTION — </w:t>
            </w:r>
            <w:r>
              <w:rPr>
                <w:rFonts w:ascii="Calibri" w:cs="Calibri" w:eastAsia="Calibri" w:hAnsi="Calibri"/>
                <w:color w:val="12241C"/>
                <w:sz w:val="20"/>
                <w:szCs w:val="20"/>
              </w:rPr>
              <w:t xml:space="preserve">PCP members must never call opponents, public servants, institutions, communities or citizens ‘cockroaches’, ‘filth’ or similar dehumanising terms. The symbol belongs only to PCP's own self-ironic identity.</w:t>
            </w:r>
          </w:p>
        </w:tc>
      </w:tr>
    </w:tbl>
    <w:p>
      <w:pPr>
        <w:pStyle w:val="Heading2"/>
        <w:pBdr>
          <w:bottom w:val="single" w:color="C9A227" w:sz="4"/>
        </w:pBdr>
        <w:spacing w:after="120" w:before="320"/>
      </w:pPr>
      <w:r>
        <w:rPr>
          <w:rFonts w:ascii="Georgia" w:cs="Georgia" w:eastAsia="Georgia" w:hAnsi="Georgia"/>
          <w:b/>
          <w:bCs/>
          <w:color w:val="0B3D26"/>
          <w:sz w:val="27"/>
          <w:szCs w:val="27"/>
        </w:rPr>
        <w:t xml:space="preserve">3. Vision, Mission and National Commitment</w:t>
      </w:r>
    </w:p>
    <w:p>
      <w:pPr>
        <w:pStyle w:val="Heading3"/>
        <w:spacing w:after="90" w:before="220"/>
      </w:pPr>
      <w:r>
        <w:rPr>
          <w:rFonts w:ascii="Georgia" w:cs="Georgia" w:eastAsia="Georgia" w:hAnsi="Georgia"/>
          <w:b/>
          <w:bCs/>
          <w:color w:val="B8892E"/>
          <w:sz w:val="22"/>
          <w:szCs w:val="22"/>
        </w:rPr>
        <w:t xml:space="preserve">Vision</w:t>
      </w:r>
    </w:p>
    <w:p>
      <w:pPr>
        <w:spacing w:after="160"/>
        <w:jc w:val="left"/>
      </w:pPr>
      <w:r>
        <w:rPr>
          <w:rFonts w:ascii="Calibri" w:cs="Calibri" w:eastAsia="Calibri" w:hAnsi="Calibri"/>
          <w:b w:val="false"/>
          <w:bCs w:val="false"/>
          <w:i w:val="false"/>
          <w:iCs w:val="false"/>
          <w:color w:val="12241C"/>
          <w:sz w:val="21"/>
          <w:szCs w:val="21"/>
        </w:rPr>
        <w:t xml:space="preserve">A Pakistan where law is equal, authority is answerable, education and skills are relevant, the economy creates dignified opportunity, energy is affordable, and public decisions can be examined and challenged lawfully.</w:t>
      </w:r>
    </w:p>
    <w:p>
      <w:pPr>
        <w:pStyle w:val="Heading3"/>
        <w:spacing w:after="90" w:before="220"/>
      </w:pPr>
      <w:r>
        <w:rPr>
          <w:rFonts w:ascii="Georgia" w:cs="Georgia" w:eastAsia="Georgia" w:hAnsi="Georgia"/>
          <w:b/>
          <w:bCs/>
          <w:color w:val="B8892E"/>
          <w:sz w:val="22"/>
          <w:szCs w:val="22"/>
        </w:rPr>
        <w:t xml:space="preserve">Mission</w:t>
      </w:r>
    </w:p>
    <w:p>
      <w:pPr>
        <w:spacing w:after="160"/>
        <w:jc w:val="left"/>
      </w:pPr>
      <w:r>
        <w:rPr>
          <w:rFonts w:ascii="Calibri" w:cs="Calibri" w:eastAsia="Calibri" w:hAnsi="Calibri"/>
          <w:b w:val="false"/>
          <w:bCs w:val="false"/>
          <w:i w:val="false"/>
          <w:iCs w:val="false"/>
          <w:color w:val="12241C"/>
          <w:sz w:val="21"/>
          <w:szCs w:val="21"/>
        </w:rPr>
        <w:t xml:space="preserve">To organise Pakistanis — especially young people — around research, policy, civic service and constitutional participation so that measurable solutions replace slogans, institutions become transparent and reform is driven by principles rather than personalities.</w:t>
      </w:r>
    </w:p>
    <w:p>
      <w:pPr>
        <w:pStyle w:val="Heading3"/>
        <w:spacing w:after="90" w:before="220"/>
      </w:pPr>
      <w:r>
        <w:rPr>
          <w:rFonts w:ascii="Georgia" w:cs="Georgia" w:eastAsia="Georgia" w:hAnsi="Georgia"/>
          <w:b/>
          <w:bCs/>
          <w:color w:val="B8892E"/>
          <w:sz w:val="22"/>
          <w:szCs w:val="22"/>
        </w:rPr>
        <w:t xml:space="preserve">Our National Commitment</w:t>
      </w:r>
    </w:p>
    <w:p>
      <w:pPr>
        <w:spacing w:after="160"/>
        <w:jc w:val="left"/>
      </w:pPr>
      <w:r>
        <w:rPr>
          <w:rFonts w:ascii="Calibri" w:cs="Calibri" w:eastAsia="Calibri" w:hAnsi="Calibri"/>
          <w:b w:val="false"/>
          <w:bCs w:val="false"/>
          <w:i w:val="false"/>
          <w:iCs w:val="false"/>
          <w:color w:val="12241C"/>
          <w:sz w:val="21"/>
          <w:szCs w:val="21"/>
        </w:rPr>
        <w:t xml:space="preserve">Our loyalty is only to Pakistan, its Constitution and its people. Every institution must operate within its constitutional limits, and every holder of public authority must be answerable. We will change the system, and Pakistan will change.</w:t>
      </w:r>
    </w:p>
    <w:p>
      <w:pPr>
        <w:pStyle w:val="Heading2"/>
        <w:pBdr>
          <w:bottom w:val="single" w:color="C9A227" w:sz="4"/>
        </w:pBdr>
        <w:spacing w:after="120" w:before="320"/>
      </w:pPr>
      <w:r>
        <w:rPr>
          <w:rFonts w:ascii="Georgia" w:cs="Georgia" w:eastAsia="Georgia" w:hAnsi="Georgia"/>
          <w:b/>
          <w:bCs/>
          <w:color w:val="0B3D26"/>
          <w:sz w:val="27"/>
          <w:szCs w:val="27"/>
        </w:rPr>
        <w:t xml:space="preserve">4. Ten Core Principles</w:t>
      </w:r>
    </w:p>
    <w:p>
      <w:pPr>
        <w:spacing w:after="40" w:before="200"/>
      </w:pPr>
      <w:r>
        <w:rPr>
          <w:rFonts w:ascii="Consolas" w:cs="Consolas" w:eastAsia="Consolas" w:hAnsi="Consolas"/>
          <w:b/>
          <w:bCs/>
          <w:color w:val="B8892E"/>
          <w:sz w:val="20"/>
          <w:szCs w:val="20"/>
        </w:rPr>
        <w:t xml:space="preserve">01  </w:t>
      </w:r>
      <w:r>
        <w:rPr>
          <w:rFonts w:ascii="Georgia" w:cs="Georgia" w:eastAsia="Georgia" w:hAnsi="Georgia"/>
          <w:b/>
          <w:bCs/>
          <w:color w:val="0B3D26"/>
          <w:sz w:val="22"/>
          <w:szCs w:val="22"/>
        </w:rPr>
        <w:t xml:space="preserve">Supremacy of the Constitution and Law</w:t>
      </w:r>
    </w:p>
    <w:p>
      <w:pPr>
        <w:spacing w:after="60"/>
        <w:ind w:left="360"/>
      </w:pPr>
      <w:r>
        <w:rPr>
          <w:rFonts w:ascii="Calibri" w:cs="Calibri" w:eastAsia="Calibri" w:hAnsi="Calibri"/>
          <w:i/>
          <w:iCs/>
          <w:color w:val="B8892E"/>
          <w:sz w:val="19"/>
          <w:szCs w:val="19"/>
        </w:rPr>
        <w:t xml:space="preserve">Same law for everyone</w:t>
      </w:r>
    </w:p>
    <w:p>
      <w:pPr>
        <w:spacing w:after="160"/>
        <w:ind w:left="360"/>
      </w:pPr>
      <w:r>
        <w:rPr>
          <w:rFonts w:ascii="Calibri" w:cs="Calibri" w:eastAsia="Calibri" w:hAnsi="Calibri"/>
          <w:color w:val="12241C"/>
          <w:sz w:val="20"/>
          <w:szCs w:val="20"/>
        </w:rPr>
        <w:t xml:space="preserve">Every reform must follow constitutional processes, protect fundamental rights, respect judicial independence and apply the law equally.</w:t>
      </w:r>
    </w:p>
    <w:p>
      <w:pPr>
        <w:spacing w:after="40" w:before="200"/>
      </w:pPr>
      <w:r>
        <w:rPr>
          <w:rFonts w:ascii="Consolas" w:cs="Consolas" w:eastAsia="Consolas" w:hAnsi="Consolas"/>
          <w:b/>
          <w:bCs/>
          <w:color w:val="B8892E"/>
          <w:sz w:val="20"/>
          <w:szCs w:val="20"/>
        </w:rPr>
        <w:t xml:space="preserve">02  </w:t>
      </w:r>
      <w:r>
        <w:rPr>
          <w:rFonts w:ascii="Georgia" w:cs="Georgia" w:eastAsia="Georgia" w:hAnsi="Georgia"/>
          <w:b/>
          <w:bCs/>
          <w:color w:val="0B3D26"/>
          <w:sz w:val="22"/>
          <w:szCs w:val="22"/>
        </w:rPr>
        <w:t xml:space="preserve">One Pakistan, One Standard</w:t>
      </w:r>
    </w:p>
    <w:p>
      <w:pPr>
        <w:spacing w:after="60"/>
        <w:ind w:left="360"/>
      </w:pPr>
      <w:r>
        <w:rPr>
          <w:rFonts w:ascii="Calibri" w:cs="Calibri" w:eastAsia="Calibri" w:hAnsi="Calibri"/>
          <w:i/>
          <w:iCs/>
          <w:color w:val="B8892E"/>
          <w:sz w:val="19"/>
          <w:szCs w:val="19"/>
        </w:rPr>
        <w:t xml:space="preserve">No shortcuts for anyone</w:t>
      </w:r>
    </w:p>
    <w:p>
      <w:pPr>
        <w:spacing w:after="160"/>
        <w:ind w:left="360"/>
      </w:pPr>
      <w:r>
        <w:rPr>
          <w:rFonts w:ascii="Calibri" w:cs="Calibri" w:eastAsia="Calibri" w:hAnsi="Calibri"/>
          <w:color w:val="12241C"/>
          <w:sz w:val="20"/>
          <w:szCs w:val="20"/>
        </w:rPr>
        <w:t xml:space="preserve">Family, office, wealth, province, gender, language or connection must not change the standard of justice, employment or public service.</w:t>
      </w:r>
    </w:p>
    <w:p>
      <w:pPr>
        <w:spacing w:after="40" w:before="200"/>
      </w:pPr>
      <w:r>
        <w:rPr>
          <w:rFonts w:ascii="Consolas" w:cs="Consolas" w:eastAsia="Consolas" w:hAnsi="Consolas"/>
          <w:b/>
          <w:bCs/>
          <w:color w:val="B8892E"/>
          <w:sz w:val="20"/>
          <w:szCs w:val="20"/>
        </w:rPr>
        <w:t xml:space="preserve">03  </w:t>
      </w:r>
      <w:r>
        <w:rPr>
          <w:rFonts w:ascii="Georgia" w:cs="Georgia" w:eastAsia="Georgia" w:hAnsi="Georgia"/>
          <w:b/>
          <w:bCs/>
          <w:color w:val="0B3D26"/>
          <w:sz w:val="22"/>
          <w:szCs w:val="22"/>
        </w:rPr>
        <w:t xml:space="preserve">Merit and Competence</w:t>
      </w:r>
    </w:p>
    <w:p>
      <w:pPr>
        <w:spacing w:after="60"/>
        <w:ind w:left="360"/>
      </w:pPr>
      <w:r>
        <w:rPr>
          <w:rFonts w:ascii="Calibri" w:cs="Calibri" w:eastAsia="Calibri" w:hAnsi="Calibri"/>
          <w:i/>
          <w:iCs/>
          <w:color w:val="B8892E"/>
          <w:sz w:val="19"/>
          <w:szCs w:val="19"/>
        </w:rPr>
        <w:t xml:space="preserve">Best person for the job</w:t>
      </w:r>
    </w:p>
    <w:p>
      <w:pPr>
        <w:spacing w:after="160"/>
        <w:ind w:left="360"/>
      </w:pPr>
      <w:r>
        <w:rPr>
          <w:rFonts w:ascii="Calibri" w:cs="Calibri" w:eastAsia="Calibri" w:hAnsi="Calibri"/>
          <w:color w:val="12241C"/>
          <w:sz w:val="20"/>
          <w:szCs w:val="20"/>
        </w:rPr>
        <w:t xml:space="preserve">Public appointments, promotions, contracts, licences and allocation of resources must follow published criteria and open competition.</w:t>
      </w:r>
    </w:p>
    <w:p>
      <w:pPr>
        <w:spacing w:after="40" w:before="200"/>
      </w:pPr>
      <w:r>
        <w:rPr>
          <w:rFonts w:ascii="Consolas" w:cs="Consolas" w:eastAsia="Consolas" w:hAnsi="Consolas"/>
          <w:b/>
          <w:bCs/>
          <w:color w:val="B8892E"/>
          <w:sz w:val="20"/>
          <w:szCs w:val="20"/>
        </w:rPr>
        <w:t xml:space="preserve">04  </w:t>
      </w:r>
      <w:r>
        <w:rPr>
          <w:rFonts w:ascii="Georgia" w:cs="Georgia" w:eastAsia="Georgia" w:hAnsi="Georgia"/>
          <w:b/>
          <w:bCs/>
          <w:color w:val="0B3D26"/>
          <w:sz w:val="22"/>
          <w:szCs w:val="22"/>
        </w:rPr>
        <w:t xml:space="preserve">Transparent Government</w:t>
      </w:r>
    </w:p>
    <w:p>
      <w:pPr>
        <w:spacing w:after="60"/>
        <w:ind w:left="360"/>
      </w:pPr>
      <w:r>
        <w:rPr>
          <w:rFonts w:ascii="Calibri" w:cs="Calibri" w:eastAsia="Calibri" w:hAnsi="Calibri"/>
          <w:i/>
          <w:iCs/>
          <w:color w:val="B8892E"/>
          <w:sz w:val="19"/>
          <w:szCs w:val="19"/>
        </w:rPr>
        <w:t xml:space="preserve">Show your work</w:t>
      </w:r>
    </w:p>
    <w:p>
      <w:pPr>
        <w:spacing w:after="160"/>
        <w:ind w:left="360"/>
      </w:pPr>
      <w:r>
        <w:rPr>
          <w:rFonts w:ascii="Calibri" w:cs="Calibri" w:eastAsia="Calibri" w:hAnsi="Calibri"/>
          <w:color w:val="12241C"/>
          <w:sz w:val="20"/>
          <w:szCs w:val="20"/>
        </w:rPr>
        <w:t xml:space="preserve">Budgets, contracts, benefits, decisions, assets and performance must be available in understandable and searchable public formats.</w:t>
      </w:r>
    </w:p>
    <w:p>
      <w:pPr>
        <w:spacing w:after="40" w:before="200"/>
      </w:pPr>
      <w:r>
        <w:rPr>
          <w:rFonts w:ascii="Consolas" w:cs="Consolas" w:eastAsia="Consolas" w:hAnsi="Consolas"/>
          <w:b/>
          <w:bCs/>
          <w:color w:val="B8892E"/>
          <w:sz w:val="20"/>
          <w:szCs w:val="20"/>
        </w:rPr>
        <w:t xml:space="preserve">05  </w:t>
      </w:r>
      <w:r>
        <w:rPr>
          <w:rFonts w:ascii="Georgia" w:cs="Georgia" w:eastAsia="Georgia" w:hAnsi="Georgia"/>
          <w:b/>
          <w:bCs/>
          <w:color w:val="0B3D26"/>
          <w:sz w:val="22"/>
          <w:szCs w:val="22"/>
        </w:rPr>
        <w:t xml:space="preserve">A Job-Creating Economy</w:t>
      </w:r>
    </w:p>
    <w:p>
      <w:pPr>
        <w:spacing w:after="60"/>
        <w:ind w:left="360"/>
      </w:pPr>
      <w:r>
        <w:rPr>
          <w:rFonts w:ascii="Calibri" w:cs="Calibri" w:eastAsia="Calibri" w:hAnsi="Calibri"/>
          <w:i/>
          <w:iCs/>
          <w:color w:val="B8892E"/>
          <w:sz w:val="19"/>
          <w:szCs w:val="19"/>
        </w:rPr>
        <w:t xml:space="preserve">An economy that hires</w:t>
      </w:r>
    </w:p>
    <w:p>
      <w:pPr>
        <w:spacing w:after="160"/>
        <w:ind w:left="360"/>
      </w:pPr>
      <w:r>
        <w:rPr>
          <w:rFonts w:ascii="Calibri" w:cs="Calibri" w:eastAsia="Calibri" w:hAnsi="Calibri"/>
          <w:color w:val="12241C"/>
          <w:sz w:val="20"/>
          <w:szCs w:val="20"/>
        </w:rPr>
        <w:t xml:space="preserve">Tax, industry, trade, agriculture, education and technology policy must prioritise productive and dignified employment.</w:t>
      </w:r>
    </w:p>
    <w:p>
      <w:pPr>
        <w:spacing w:after="40" w:before="200"/>
      </w:pPr>
      <w:r>
        <w:rPr>
          <w:rFonts w:ascii="Consolas" w:cs="Consolas" w:eastAsia="Consolas" w:hAnsi="Consolas"/>
          <w:b/>
          <w:bCs/>
          <w:color w:val="B8892E"/>
          <w:sz w:val="20"/>
          <w:szCs w:val="20"/>
        </w:rPr>
        <w:t xml:space="preserve">06  </w:t>
      </w:r>
      <w:r>
        <w:rPr>
          <w:rFonts w:ascii="Georgia" w:cs="Georgia" w:eastAsia="Georgia" w:hAnsi="Georgia"/>
          <w:b/>
          <w:bCs/>
          <w:color w:val="0B3D26"/>
          <w:sz w:val="22"/>
          <w:szCs w:val="22"/>
        </w:rPr>
        <w:t xml:space="preserve">Education and Marketable Skills</w:t>
      </w:r>
    </w:p>
    <w:p>
      <w:pPr>
        <w:spacing w:after="60"/>
        <w:ind w:left="360"/>
      </w:pPr>
      <w:r>
        <w:rPr>
          <w:rFonts w:ascii="Calibri" w:cs="Calibri" w:eastAsia="Calibri" w:hAnsi="Calibri"/>
          <w:i/>
          <w:iCs/>
          <w:color w:val="B8892E"/>
          <w:sz w:val="19"/>
          <w:szCs w:val="19"/>
        </w:rPr>
        <w:t xml:space="preserve">Skills worth something</w:t>
      </w:r>
    </w:p>
    <w:p>
      <w:pPr>
        <w:spacing w:after="160"/>
        <w:ind w:left="360"/>
      </w:pPr>
      <w:r>
        <w:rPr>
          <w:rFonts w:ascii="Calibri" w:cs="Calibri" w:eastAsia="Calibri" w:hAnsi="Calibri"/>
          <w:color w:val="12241C"/>
          <w:sz w:val="20"/>
          <w:szCs w:val="20"/>
        </w:rPr>
        <w:t xml:space="preserve">Every child should be in school and every young person should have access to relevant, employable skills.</w:t>
      </w:r>
    </w:p>
    <w:p>
      <w:pPr>
        <w:spacing w:after="40" w:before="200"/>
      </w:pPr>
      <w:r>
        <w:rPr>
          <w:rFonts w:ascii="Consolas" w:cs="Consolas" w:eastAsia="Consolas" w:hAnsi="Consolas"/>
          <w:b/>
          <w:bCs/>
          <w:color w:val="B8892E"/>
          <w:sz w:val="20"/>
          <w:szCs w:val="20"/>
        </w:rPr>
        <w:t xml:space="preserve">07  </w:t>
      </w:r>
      <w:r>
        <w:rPr>
          <w:rFonts w:ascii="Georgia" w:cs="Georgia" w:eastAsia="Georgia" w:hAnsi="Georgia"/>
          <w:b/>
          <w:bCs/>
          <w:color w:val="0B3D26"/>
          <w:sz w:val="22"/>
          <w:szCs w:val="22"/>
        </w:rPr>
        <w:t xml:space="preserve">Affordable and Accountable Energy</w:t>
      </w:r>
    </w:p>
    <w:p>
      <w:pPr>
        <w:spacing w:after="60"/>
        <w:ind w:left="360"/>
      </w:pPr>
      <w:r>
        <w:rPr>
          <w:rFonts w:ascii="Calibri" w:cs="Calibri" w:eastAsia="Calibri" w:hAnsi="Calibri"/>
          <w:i/>
          <w:iCs/>
          <w:color w:val="B8892E"/>
          <w:sz w:val="19"/>
          <w:szCs w:val="19"/>
        </w:rPr>
        <w:t xml:space="preserve">Show us the bill first</w:t>
      </w:r>
    </w:p>
    <w:p>
      <w:pPr>
        <w:spacing w:after="160"/>
        <w:ind w:left="360"/>
      </w:pPr>
      <w:r>
        <w:rPr>
          <w:rFonts w:ascii="Calibri" w:cs="Calibri" w:eastAsia="Calibri" w:hAnsi="Calibri"/>
          <w:color w:val="12241C"/>
          <w:sz w:val="20"/>
          <w:szCs w:val="20"/>
        </w:rPr>
        <w:t xml:space="preserve">Citizens deserve a transparent account of tariffs, losses, theft, contracts, subsidies and circular debt.</w:t>
      </w:r>
    </w:p>
    <w:p>
      <w:pPr>
        <w:spacing w:after="40" w:before="200"/>
      </w:pPr>
      <w:r>
        <w:rPr>
          <w:rFonts w:ascii="Consolas" w:cs="Consolas" w:eastAsia="Consolas" w:hAnsi="Consolas"/>
          <w:b/>
          <w:bCs/>
          <w:color w:val="B8892E"/>
          <w:sz w:val="20"/>
          <w:szCs w:val="20"/>
        </w:rPr>
        <w:t xml:space="preserve">08  </w:t>
      </w:r>
      <w:r>
        <w:rPr>
          <w:rFonts w:ascii="Georgia" w:cs="Georgia" w:eastAsia="Georgia" w:hAnsi="Georgia"/>
          <w:b/>
          <w:bCs/>
          <w:color w:val="0B3D26"/>
          <w:sz w:val="22"/>
          <w:szCs w:val="22"/>
        </w:rPr>
        <w:t xml:space="preserve">Accountability with Authority</w:t>
      </w:r>
    </w:p>
    <w:p>
      <w:pPr>
        <w:spacing w:after="60"/>
        <w:ind w:left="360"/>
      </w:pPr>
      <w:r>
        <w:rPr>
          <w:rFonts w:ascii="Calibri" w:cs="Calibri" w:eastAsia="Calibri" w:hAnsi="Calibri"/>
          <w:i/>
          <w:iCs/>
          <w:color w:val="B8892E"/>
          <w:sz w:val="19"/>
          <w:szCs w:val="19"/>
        </w:rPr>
        <w:t xml:space="preserve">Every office has a leash</w:t>
      </w:r>
    </w:p>
    <w:p>
      <w:pPr>
        <w:spacing w:after="160"/>
        <w:ind w:left="360"/>
      </w:pPr>
      <w:r>
        <w:rPr>
          <w:rFonts w:ascii="Calibri" w:cs="Calibri" w:eastAsia="Calibri" w:hAnsi="Calibri"/>
          <w:color w:val="12241C"/>
          <w:sz w:val="20"/>
          <w:szCs w:val="20"/>
        </w:rPr>
        <w:t xml:space="preserve">Every office must have defined powers, targets, tenure, reporting and a fair mechanism of review and appeal.</w:t>
      </w:r>
    </w:p>
    <w:p>
      <w:pPr>
        <w:spacing w:after="40" w:before="200"/>
      </w:pPr>
      <w:r>
        <w:rPr>
          <w:rFonts w:ascii="Consolas" w:cs="Consolas" w:eastAsia="Consolas" w:hAnsi="Consolas"/>
          <w:b/>
          <w:bCs/>
          <w:color w:val="B8892E"/>
          <w:sz w:val="20"/>
          <w:szCs w:val="20"/>
        </w:rPr>
        <w:t xml:space="preserve">09  </w:t>
      </w:r>
      <w:r>
        <w:rPr>
          <w:rFonts w:ascii="Georgia" w:cs="Georgia" w:eastAsia="Georgia" w:hAnsi="Georgia"/>
          <w:b/>
          <w:bCs/>
          <w:color w:val="0B3D26"/>
          <w:sz w:val="22"/>
          <w:szCs w:val="22"/>
        </w:rPr>
        <w:t xml:space="preserve">Local Public Service</w:t>
      </w:r>
    </w:p>
    <w:p>
      <w:pPr>
        <w:spacing w:after="60"/>
        <w:ind w:left="360"/>
      </w:pPr>
      <w:r>
        <w:rPr>
          <w:rFonts w:ascii="Calibri" w:cs="Calibri" w:eastAsia="Calibri" w:hAnsi="Calibri"/>
          <w:i/>
          <w:iCs/>
          <w:color w:val="B8892E"/>
          <w:sz w:val="19"/>
          <w:szCs w:val="19"/>
        </w:rPr>
        <w:t xml:space="preserve">Decisions made close to home</w:t>
      </w:r>
    </w:p>
    <w:p>
      <w:pPr>
        <w:spacing w:after="160"/>
        <w:ind w:left="360"/>
      </w:pPr>
      <w:r>
        <w:rPr>
          <w:rFonts w:ascii="Calibri" w:cs="Calibri" w:eastAsia="Calibri" w:hAnsi="Calibri"/>
          <w:color w:val="12241C"/>
          <w:sz w:val="20"/>
          <w:szCs w:val="20"/>
        </w:rPr>
        <w:t xml:space="preserve">Decisions on water, sanitation, primary health, local roads and neighbourhood services should be taken as close to citizens as practicable.</w:t>
      </w:r>
    </w:p>
    <w:p>
      <w:pPr>
        <w:spacing w:after="40" w:before="200"/>
      </w:pPr>
      <w:r>
        <w:rPr>
          <w:rFonts w:ascii="Consolas" w:cs="Consolas" w:eastAsia="Consolas" w:hAnsi="Consolas"/>
          <w:b/>
          <w:bCs/>
          <w:color w:val="B8892E"/>
          <w:sz w:val="20"/>
          <w:szCs w:val="20"/>
        </w:rPr>
        <w:t xml:space="preserve">10  </w:t>
      </w:r>
      <w:r>
        <w:rPr>
          <w:rFonts w:ascii="Georgia" w:cs="Georgia" w:eastAsia="Georgia" w:hAnsi="Georgia"/>
          <w:b/>
          <w:bCs/>
          <w:color w:val="0B3D26"/>
          <w:sz w:val="22"/>
          <w:szCs w:val="22"/>
        </w:rPr>
        <w:t xml:space="preserve">Nonviolence and Respect</w:t>
      </w:r>
    </w:p>
    <w:p>
      <w:pPr>
        <w:spacing w:after="60"/>
        <w:ind w:left="360"/>
      </w:pPr>
      <w:r>
        <w:rPr>
          <w:rFonts w:ascii="Calibri" w:cs="Calibri" w:eastAsia="Calibri" w:hAnsi="Calibri"/>
          <w:i/>
          <w:iCs/>
          <w:color w:val="B8892E"/>
          <w:sz w:val="19"/>
          <w:szCs w:val="19"/>
        </w:rPr>
        <w:t xml:space="preserve">Disagreement isn't enmity</w:t>
      </w:r>
    </w:p>
    <w:p>
      <w:pPr>
        <w:spacing w:after="160"/>
        <w:ind w:left="360"/>
      </w:pPr>
      <w:r>
        <w:rPr>
          <w:rFonts w:ascii="Calibri" w:cs="Calibri" w:eastAsia="Calibri" w:hAnsi="Calibri"/>
          <w:color w:val="12241C"/>
          <w:sz w:val="20"/>
          <w:szCs w:val="20"/>
        </w:rPr>
        <w:t xml:space="preserve">PCP will criticise through evidence, law and respectful language.</w:t>
      </w:r>
    </w:p>
    <w:p>
      <w:pPr>
        <w:pStyle w:val="Heading2"/>
        <w:pBdr>
          <w:bottom w:val="single" w:color="C9A227" w:sz="4"/>
        </w:pBdr>
        <w:spacing w:after="120" w:before="320"/>
      </w:pPr>
      <w:r>
        <w:rPr>
          <w:rFonts w:ascii="Georgia" w:cs="Georgia" w:eastAsia="Georgia" w:hAnsi="Georgia"/>
          <w:b/>
          <w:bCs/>
          <w:color w:val="0B3D26"/>
          <w:sz w:val="27"/>
          <w:szCs w:val="27"/>
        </w:rPr>
        <w:t xml:space="preserve">5. Values and Red Lines</w:t>
      </w:r>
    </w:p>
    <w:tbl>
      <w:tblPr>
        <w:tblW w:type="pct" w:w="100%"/>
        <w:tblBorders>
          <w:top w:val="single" w:color="CCCCCC" w:sz="2"/>
          <w:left w:val="single" w:color="CCCCCC" w:sz="2"/>
          <w:bottom w:val="single" w:color="CCCCCC" w:sz="2"/>
          <w:right w:val="single" w:color="CCCCCC" w:sz="2"/>
          <w:insideH w:val="single" w:color="E3DFD3" w:sz="2"/>
          <w:insideV w:val="single" w:color="E3DFD3" w:sz="2"/>
        </w:tblBorders>
      </w:tblPr>
      <w:tblGrid>
        <w:gridCol w:w="2400"/>
        <w:gridCol w:w="3600"/>
        <w:gridCol w:w="3350"/>
      </w:tblGrid>
      <w:tr>
        <w:trPr>
          <w:tblHeader/>
        </w:trPr>
        <w:tc>
          <w:tcPr>
            <w:tcW w:type="dxa" w:w="24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Value</w:t>
            </w:r>
          </w:p>
        </w:tc>
        <w:tc>
          <w:tcPr>
            <w:tcW w:type="dxa" w:w="36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Required practice</w:t>
            </w:r>
          </w:p>
        </w:tc>
        <w:tc>
          <w:tcPr>
            <w:tcW w:type="dxa" w:w="335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Prohibited practice</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Truth</w:t>
            </w:r>
          </w:p>
        </w:tc>
        <w:tc>
          <w:tcPr>
            <w:tcW w:type="dxa" w:w="3600"/>
            <w:shd w:fill="FFFFFF" w:val="clear"/>
            <w:tcMar>
              <w:top w:type="dxa" w:w="110"/>
              <w:left w:type="dxa" w:w="140"/>
              <w:bottom w:type="dxa" w:w="110"/>
              <w:right w:type="dxa" w:w="140"/>
            </w:tcMar>
          </w:tcPr>
          <w:p>
            <w:r>
              <w:rPr>
                <w:rFonts w:ascii="Calibri" w:cs="Calibri" w:eastAsia="Calibri" w:hAnsi="Calibri"/>
                <w:color w:val="12241C"/>
                <w:sz w:val="19"/>
                <w:szCs w:val="19"/>
              </w:rPr>
              <w:t xml:space="preserve">Verify claims and correct errors openly.</w:t>
            </w:r>
          </w:p>
        </w:tc>
        <w:tc>
          <w:tcPr>
            <w:tcW w:type="dxa" w:w="3350"/>
            <w:shd w:fill="FFFFFF" w:val="clear"/>
            <w:tcMar>
              <w:top w:type="dxa" w:w="110"/>
              <w:left w:type="dxa" w:w="140"/>
              <w:bottom w:type="dxa" w:w="110"/>
              <w:right w:type="dxa" w:w="140"/>
            </w:tcMar>
          </w:tcPr>
          <w:p>
            <w:r>
              <w:rPr>
                <w:rFonts w:ascii="Calibri" w:cs="Calibri" w:eastAsia="Calibri" w:hAnsi="Calibri"/>
                <w:color w:val="12241C"/>
                <w:sz w:val="19"/>
                <w:szCs w:val="19"/>
              </w:rPr>
              <w:t xml:space="preserve">Fake news, fabricated documents, deceptive editing or knowingly false accusations.</w:t>
            </w:r>
          </w:p>
        </w:tc>
      </w:tr>
      <w:tr>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Nonviolence</w:t>
            </w:r>
          </w:p>
        </w:tc>
        <w:tc>
          <w:tcPr>
            <w:tcW w:type="dxa" w:w="3600"/>
            <w:shd w:fill="E7EFE9" w:val="clear"/>
            <w:tcMar>
              <w:top w:type="dxa" w:w="110"/>
              <w:left w:type="dxa" w:w="140"/>
              <w:bottom w:type="dxa" w:w="110"/>
              <w:right w:type="dxa" w:w="140"/>
            </w:tcMar>
          </w:tcPr>
          <w:p>
            <w:r>
              <w:rPr>
                <w:rFonts w:ascii="Calibri" w:cs="Calibri" w:eastAsia="Calibri" w:hAnsi="Calibri"/>
                <w:color w:val="12241C"/>
                <w:sz w:val="19"/>
                <w:szCs w:val="19"/>
              </w:rPr>
              <w:t xml:space="preserve">Peaceful meetings, lawful protest and de-escalation.</w:t>
            </w:r>
          </w:p>
        </w:tc>
        <w:tc>
          <w:tcPr>
            <w:tcW w:type="dxa" w:w="3350"/>
            <w:shd w:fill="E7EFE9" w:val="clear"/>
            <w:tcMar>
              <w:top w:type="dxa" w:w="110"/>
              <w:left w:type="dxa" w:w="140"/>
              <w:bottom w:type="dxa" w:w="110"/>
              <w:right w:type="dxa" w:w="140"/>
            </w:tcMar>
          </w:tcPr>
          <w:p>
            <w:r>
              <w:rPr>
                <w:rFonts w:ascii="Calibri" w:cs="Calibri" w:eastAsia="Calibri" w:hAnsi="Calibri"/>
                <w:color w:val="12241C"/>
                <w:sz w:val="19"/>
                <w:szCs w:val="19"/>
              </w:rPr>
              <w:t xml:space="preserve">Threats, weapons, vandalism, coercion or incitement.</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Respect</w:t>
            </w:r>
          </w:p>
        </w:tc>
        <w:tc>
          <w:tcPr>
            <w:tcW w:type="dxa" w:w="3600"/>
            <w:shd w:fill="FFFFFF" w:val="clear"/>
            <w:tcMar>
              <w:top w:type="dxa" w:w="110"/>
              <w:left w:type="dxa" w:w="140"/>
              <w:bottom w:type="dxa" w:w="110"/>
              <w:right w:type="dxa" w:w="140"/>
            </w:tcMar>
          </w:tcPr>
          <w:p>
            <w:r>
              <w:rPr>
                <w:rFonts w:ascii="Calibri" w:cs="Calibri" w:eastAsia="Calibri" w:hAnsi="Calibri"/>
                <w:color w:val="12241C"/>
                <w:sz w:val="19"/>
                <w:szCs w:val="19"/>
              </w:rPr>
              <w:t xml:space="preserve">Protect human dignity even during disagreement.</w:t>
            </w:r>
          </w:p>
        </w:tc>
        <w:tc>
          <w:tcPr>
            <w:tcW w:type="dxa" w:w="3350"/>
            <w:shd w:fill="FFFFFF" w:val="clear"/>
            <w:tcMar>
              <w:top w:type="dxa" w:w="110"/>
              <w:left w:type="dxa" w:w="140"/>
              <w:bottom w:type="dxa" w:w="110"/>
              <w:right w:type="dxa" w:w="140"/>
            </w:tcMar>
          </w:tcPr>
          <w:p>
            <w:r>
              <w:rPr>
                <w:rFonts w:ascii="Calibri" w:cs="Calibri" w:eastAsia="Calibri" w:hAnsi="Calibri"/>
                <w:color w:val="12241C"/>
                <w:sz w:val="19"/>
                <w:szCs w:val="19"/>
              </w:rPr>
              <w:t xml:space="preserve">Abuse, harassment, sectarianism, racism, misogyny or attacks on families.</w:t>
            </w:r>
          </w:p>
        </w:tc>
      </w:tr>
      <w:tr>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Transparency</w:t>
            </w:r>
          </w:p>
        </w:tc>
        <w:tc>
          <w:tcPr>
            <w:tcW w:type="dxa" w:w="3600"/>
            <w:shd w:fill="E7EFE9" w:val="clear"/>
            <w:tcMar>
              <w:top w:type="dxa" w:w="110"/>
              <w:left w:type="dxa" w:w="140"/>
              <w:bottom w:type="dxa" w:w="110"/>
              <w:right w:type="dxa" w:w="140"/>
            </w:tcMar>
          </w:tcPr>
          <w:p>
            <w:r>
              <w:rPr>
                <w:rFonts w:ascii="Calibri" w:cs="Calibri" w:eastAsia="Calibri" w:hAnsi="Calibri"/>
                <w:color w:val="12241C"/>
                <w:sz w:val="19"/>
                <w:szCs w:val="19"/>
              </w:rPr>
              <w:t xml:space="preserve">Disclose money, interests, decisions and performance.</w:t>
            </w:r>
          </w:p>
        </w:tc>
        <w:tc>
          <w:tcPr>
            <w:tcW w:type="dxa" w:w="3350"/>
            <w:shd w:fill="E7EFE9" w:val="clear"/>
            <w:tcMar>
              <w:top w:type="dxa" w:w="110"/>
              <w:left w:type="dxa" w:w="140"/>
              <w:bottom w:type="dxa" w:w="110"/>
              <w:right w:type="dxa" w:w="140"/>
            </w:tcMar>
          </w:tcPr>
          <w:p>
            <w:r>
              <w:rPr>
                <w:rFonts w:ascii="Calibri" w:cs="Calibri" w:eastAsia="Calibri" w:hAnsi="Calibri"/>
                <w:color w:val="12241C"/>
                <w:sz w:val="19"/>
                <w:szCs w:val="19"/>
              </w:rPr>
              <w:t xml:space="preserve">Secret donations, undeclared benefits or off-record spending.</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Merit</w:t>
            </w:r>
          </w:p>
        </w:tc>
        <w:tc>
          <w:tcPr>
            <w:tcW w:type="dxa" w:w="3600"/>
            <w:shd w:fill="FFFFFF" w:val="clear"/>
            <w:tcMar>
              <w:top w:type="dxa" w:w="110"/>
              <w:left w:type="dxa" w:w="140"/>
              <w:bottom w:type="dxa" w:w="110"/>
              <w:right w:type="dxa" w:w="140"/>
            </w:tcMar>
          </w:tcPr>
          <w:p>
            <w:r>
              <w:rPr>
                <w:rFonts w:ascii="Calibri" w:cs="Calibri" w:eastAsia="Calibri" w:hAnsi="Calibri"/>
                <w:color w:val="12241C"/>
                <w:sz w:val="19"/>
                <w:szCs w:val="19"/>
              </w:rPr>
              <w:t xml:space="preserve">Assign responsibility through competence and service.</w:t>
            </w:r>
          </w:p>
        </w:tc>
        <w:tc>
          <w:tcPr>
            <w:tcW w:type="dxa" w:w="3350"/>
            <w:shd w:fill="FFFFFF" w:val="clear"/>
            <w:tcMar>
              <w:top w:type="dxa" w:w="110"/>
              <w:left w:type="dxa" w:w="140"/>
              <w:bottom w:type="dxa" w:w="110"/>
              <w:right w:type="dxa" w:w="140"/>
            </w:tcMar>
          </w:tcPr>
          <w:p>
            <w:r>
              <w:rPr>
                <w:rFonts w:ascii="Calibri" w:cs="Calibri" w:eastAsia="Calibri" w:hAnsi="Calibri"/>
                <w:color w:val="12241C"/>
                <w:sz w:val="19"/>
                <w:szCs w:val="19"/>
              </w:rPr>
              <w:t xml:space="preserve">Appointments based on family, wealth, friendship or flattery.</w:t>
            </w:r>
          </w:p>
        </w:tc>
      </w:tr>
      <w:tr>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Accountability</w:t>
            </w:r>
          </w:p>
        </w:tc>
        <w:tc>
          <w:tcPr>
            <w:tcW w:type="dxa" w:w="3600"/>
            <w:shd w:fill="E7EFE9" w:val="clear"/>
            <w:tcMar>
              <w:top w:type="dxa" w:w="110"/>
              <w:left w:type="dxa" w:w="140"/>
              <w:bottom w:type="dxa" w:w="110"/>
              <w:right w:type="dxa" w:w="140"/>
            </w:tcMar>
          </w:tcPr>
          <w:p>
            <w:r>
              <w:rPr>
                <w:rFonts w:ascii="Calibri" w:cs="Calibri" w:eastAsia="Calibri" w:hAnsi="Calibri"/>
                <w:color w:val="12241C"/>
                <w:sz w:val="19"/>
                <w:szCs w:val="19"/>
              </w:rPr>
              <w:t xml:space="preserve">Review every office, including senior leadership.</w:t>
            </w:r>
          </w:p>
        </w:tc>
        <w:tc>
          <w:tcPr>
            <w:tcW w:type="dxa" w:w="3350"/>
            <w:shd w:fill="E7EFE9" w:val="clear"/>
            <w:tcMar>
              <w:top w:type="dxa" w:w="110"/>
              <w:left w:type="dxa" w:w="140"/>
              <w:bottom w:type="dxa" w:w="110"/>
              <w:right w:type="dxa" w:w="140"/>
            </w:tcMar>
          </w:tcPr>
          <w:p>
            <w:r>
              <w:rPr>
                <w:rFonts w:ascii="Calibri" w:cs="Calibri" w:eastAsia="Calibri" w:hAnsi="Calibri"/>
                <w:color w:val="12241C"/>
                <w:sz w:val="19"/>
                <w:szCs w:val="19"/>
              </w:rPr>
              <w:t xml:space="preserve">Personal immunity or permanent ownership of a position.</w:t>
            </w:r>
          </w:p>
        </w:tc>
      </w:tr>
    </w:tbl>
    <w:p>
      <w:r>
        <w:br w:type="page"/>
      </w:r>
    </w:p>
    <w:tbl>
      <w:tblPr>
        <w:tblW w:type="pct" w:w="100%"/>
        <w:tblBorders>
          <w:top w:val="none"/>
          <w:left w:val="none"/>
          <w:bottom w:val="none"/>
          <w:right w:val="none"/>
          <w:insideH w:val="none"/>
          <w:insideV w:val="none"/>
        </w:tblBorders>
      </w:tblPr>
      <w:tblGrid>
        <w:gridCol w:w="100"/>
      </w:tblGrid>
      <w:tr>
        <w:tc>
          <w:tcPr>
            <w:shd w:fill="0B3D26" w:val="clear"/>
            <w:tcMar>
              <w:top w:type="dxa" w:w="260"/>
              <w:left w:type="dxa" w:w="260"/>
              <w:bottom w:type="dxa" w:w="260"/>
              <w:right w:type="dxa" w:w="260"/>
            </w:tcMar>
          </w:tcPr>
          <w:p>
            <w:pPr>
              <w:spacing w:after="60"/>
            </w:pPr>
            <w:r>
              <w:rPr>
                <w:rFonts w:ascii="Consolas" w:cs="Consolas" w:eastAsia="Consolas" w:hAnsi="Consolas"/>
                <w:b/>
                <w:bCs/>
                <w:color w:val="C9A227"/>
                <w:spacing w:val="20"/>
                <w:sz w:val="18"/>
                <w:szCs w:val="18"/>
              </w:rPr>
              <w:t xml:space="preserve">PART II</w:t>
            </w:r>
          </w:p>
          <w:p>
            <w:pPr>
              <w:pStyle w:val="Heading1"/>
              <w:spacing w:after="100"/>
            </w:pPr>
            <w:r>
              <w:rPr>
                <w:rFonts w:ascii="Georgia" w:cs="Georgia" w:eastAsia="Georgia" w:hAnsi="Georgia"/>
                <w:b/>
                <w:bCs/>
                <w:color w:val="FFFFFF"/>
                <w:sz w:val="40"/>
                <w:szCs w:val="40"/>
              </w:rPr>
              <w:t xml:space="preserve">Five National Demands</w:t>
            </w:r>
          </w:p>
          <w:p>
            <w:r>
              <w:rPr>
                <w:rFonts w:ascii="Calibri" w:cs="Calibri" w:eastAsia="Calibri" w:hAnsi="Calibri"/>
                <w:color w:val="F6F1E4"/>
                <w:sz w:val="21"/>
                <w:szCs w:val="21"/>
              </w:rPr>
              <w:t xml:space="preserve">Each demand links a public problem to an institutional reform, a measurable target and published evidence.</w:t>
            </w:r>
          </w:p>
        </w:tc>
      </w:tr>
    </w:tbl>
    <w:p>
      <w:pPr>
        <w:spacing w:after="200"/>
      </w:pPr>
    </w:p>
    <w:p>
      <w:pPr>
        <w:pStyle w:val="Heading2"/>
        <w:pBdr>
          <w:bottom w:val="single" w:color="C9A227" w:sz="4"/>
        </w:pBdr>
        <w:spacing w:after="120" w:before="320"/>
      </w:pPr>
      <w:r>
        <w:rPr>
          <w:rFonts w:ascii="Georgia" w:cs="Georgia" w:eastAsia="Georgia" w:hAnsi="Georgia"/>
          <w:b/>
          <w:bCs/>
          <w:color w:val="0B3D26"/>
          <w:sz w:val="27"/>
          <w:szCs w:val="27"/>
        </w:rPr>
        <w:t xml:space="preserve">Demand One — One Law, One Accountability</w:t>
      </w:r>
    </w:p>
    <w:p>
      <w:pPr>
        <w:spacing w:after="140"/>
      </w:pPr>
      <w:r>
        <w:rPr>
          <w:rFonts w:ascii="Calibri" w:cs="Calibri" w:eastAsia="Calibri" w:hAnsi="Calibri"/>
          <w:i/>
          <w:iCs/>
          <w:color w:val="B8892E"/>
          <w:sz w:val="20"/>
          <w:szCs w:val="20"/>
        </w:rPr>
        <w:t xml:space="preserve">Same rules for a minister's son and a mechanic's son.</w:t>
      </w:r>
    </w:p>
    <w:p>
      <w:pPr>
        <w:spacing w:after="160"/>
        <w:jc w:val="left"/>
      </w:pPr>
      <w:r>
        <w:rPr>
          <w:rFonts w:ascii="Calibri" w:cs="Calibri" w:eastAsia="Calibri" w:hAnsi="Calibri"/>
          <w:b w:val="false"/>
          <w:bCs w:val="false"/>
          <w:i w:val="false"/>
          <w:iCs w:val="false"/>
          <w:color w:val="12241C"/>
          <w:sz w:val="21"/>
          <w:szCs w:val="21"/>
        </w:rPr>
        <w:t xml:space="preserve">Public trust requires the same legal standard for the powerful and the ordinary citizen. Accountability must be independent, evidence-based and protected from selective or political use.</w:t>
      </w:r>
    </w:p>
    <w:p>
      <w:pPr>
        <w:pStyle w:val="Heading3"/>
        <w:spacing w:after="90" w:before="220"/>
      </w:pPr>
      <w:r>
        <w:rPr>
          <w:rFonts w:ascii="Georgia" w:cs="Georgia" w:eastAsia="Georgia" w:hAnsi="Georgia"/>
          <w:b/>
          <w:bCs/>
          <w:color w:val="0B3D26"/>
          <w:sz w:val="22"/>
          <w:szCs w:val="22"/>
        </w:rPr>
        <w:t xml:space="preserve">Policy commitments</w:t>
      </w:r>
    </w:p>
    <w:p>
      <w:pPr>
        <w:pStyle w:val="ListParagraph"/>
        <w:numPr>
          <w:ilvl w:val="0"/>
          <w:numId w:val="2"/>
        </w:numPr>
        <w:spacing w:after="90"/>
      </w:pPr>
      <w:r>
        <w:rPr>
          <w:rFonts w:ascii="Calibri" w:cs="Calibri" w:eastAsia="Calibri" w:hAnsi="Calibri"/>
          <w:b w:val="false"/>
          <w:bCs w:val="false"/>
          <w:color w:val="12241C"/>
          <w:sz w:val="21"/>
          <w:szCs w:val="21"/>
        </w:rPr>
        <w:t xml:space="preserve">Searchable annual asset and interest declarations for elected representatives and senior public office holders.</w:t>
      </w:r>
    </w:p>
    <w:p>
      <w:pPr>
        <w:pStyle w:val="ListParagraph"/>
        <w:numPr>
          <w:ilvl w:val="0"/>
          <w:numId w:val="2"/>
        </w:numPr>
        <w:spacing w:after="90"/>
      </w:pPr>
      <w:r>
        <w:rPr>
          <w:rFonts w:ascii="Calibri" w:cs="Calibri" w:eastAsia="Calibri" w:hAnsi="Calibri"/>
          <w:b w:val="false"/>
          <w:bCs w:val="false"/>
          <w:color w:val="12241C"/>
          <w:sz w:val="21"/>
          <w:szCs w:val="21"/>
        </w:rPr>
        <w:t xml:space="preserve">Open contracting data showing bidders, award value, variations, beneficial ownership and delivery status.</w:t>
      </w:r>
    </w:p>
    <w:p>
      <w:pPr>
        <w:pStyle w:val="ListParagraph"/>
        <w:numPr>
          <w:ilvl w:val="0"/>
          <w:numId w:val="2"/>
        </w:numPr>
        <w:spacing w:after="90"/>
      </w:pPr>
      <w:r>
        <w:rPr>
          <w:rFonts w:ascii="Calibri" w:cs="Calibri" w:eastAsia="Calibri" w:hAnsi="Calibri"/>
          <w:b w:val="false"/>
          <w:bCs w:val="false"/>
          <w:color w:val="12241C"/>
          <w:sz w:val="21"/>
          <w:szCs w:val="21"/>
        </w:rPr>
        <w:t xml:space="preserve">Independent oversight and annual performance audits for accountability and investigative bodies.</w:t>
      </w:r>
    </w:p>
    <w:p>
      <w:pPr>
        <w:pStyle w:val="ListParagraph"/>
        <w:numPr>
          <w:ilvl w:val="0"/>
          <w:numId w:val="2"/>
        </w:numPr>
        <w:spacing w:after="90"/>
      </w:pPr>
      <w:r>
        <w:rPr>
          <w:rFonts w:ascii="Calibri" w:cs="Calibri" w:eastAsia="Calibri" w:hAnsi="Calibri"/>
          <w:b w:val="false"/>
          <w:bCs w:val="false"/>
          <w:color w:val="12241C"/>
          <w:sz w:val="21"/>
          <w:szCs w:val="21"/>
        </w:rPr>
        <w:t xml:space="preserve">Digital case management, e-filing and published disposal-time data for courts and tribunals.</w:t>
      </w:r>
    </w:p>
    <w:p>
      <w:pPr>
        <w:pStyle w:val="ListParagraph"/>
        <w:numPr>
          <w:ilvl w:val="0"/>
          <w:numId w:val="2"/>
        </w:numPr>
        <w:spacing w:after="90"/>
      </w:pPr>
      <w:r>
        <w:rPr>
          <w:rFonts w:ascii="Calibri" w:cs="Calibri" w:eastAsia="Calibri" w:hAnsi="Calibri"/>
          <w:b w:val="false"/>
          <w:bCs w:val="false"/>
          <w:color w:val="12241C"/>
          <w:sz w:val="21"/>
          <w:szCs w:val="21"/>
        </w:rPr>
        <w:t xml:space="preserve">Rules-based appointments, transfers and performance review in police, prosecution and investigation.</w:t>
      </w:r>
    </w:p>
    <w:p>
      <w:pPr>
        <w:pStyle w:val="Heading3"/>
        <w:spacing w:after="90" w:before="220"/>
      </w:pPr>
      <w:r>
        <w:rPr>
          <w:rFonts w:ascii="Georgia" w:cs="Georgia" w:eastAsia="Georgia" w:hAnsi="Georgia"/>
          <w:b/>
          <w:bCs/>
          <w:color w:val="0B3D26"/>
          <w:sz w:val="22"/>
          <w:szCs w:val="22"/>
        </w:rPr>
        <w:t xml:space="preserve">First 100-day institutional agenda</w:t>
      </w:r>
    </w:p>
    <w:p>
      <w:pPr>
        <w:tabs>
          <w:tab w:val="left" w:pos="360"/>
        </w:tabs>
        <w:spacing w:after="110"/>
        <w:ind w:left="360" w:hanging="360"/>
      </w:pPr>
      <w:r>
        <w:rPr>
          <w:rFonts w:ascii="Consolas" w:cs="Consolas" w:eastAsia="Consolas" w:hAnsi="Consolas"/>
          <w:b/>
          <w:bCs/>
          <w:color w:val="B8892E"/>
          <w:sz w:val="19"/>
          <w:szCs w:val="19"/>
        </w:rPr>
        <w:t xml:space="preserve">6.1.	</w:t>
      </w:r>
      <w:r>
        <w:rPr>
          <w:rFonts w:ascii="Calibri" w:cs="Calibri" w:eastAsia="Calibri" w:hAnsi="Calibri"/>
          <w:color w:val="12241C"/>
          <w:sz w:val="20"/>
          <w:szCs w:val="20"/>
        </w:rPr>
        <w:t xml:space="preserve">Publish a blueprint for a unified public transparency and open-contracting portal.</w:t>
      </w:r>
    </w:p>
    <w:p>
      <w:pPr>
        <w:tabs>
          <w:tab w:val="left" w:pos="360"/>
        </w:tabs>
        <w:spacing w:after="110"/>
        <w:ind w:left="360" w:hanging="360"/>
      </w:pPr>
      <w:r>
        <w:rPr>
          <w:rFonts w:ascii="Consolas" w:cs="Consolas" w:eastAsia="Consolas" w:hAnsi="Consolas"/>
          <w:b/>
          <w:bCs/>
          <w:color w:val="B8892E"/>
          <w:sz w:val="19"/>
          <w:szCs w:val="19"/>
        </w:rPr>
        <w:t xml:space="preserve">6.2.	</w:t>
      </w:r>
      <w:r>
        <w:rPr>
          <w:rFonts w:ascii="Calibri" w:cs="Calibri" w:eastAsia="Calibri" w:hAnsi="Calibri"/>
          <w:color w:val="12241C"/>
          <w:sz w:val="20"/>
          <w:szCs w:val="20"/>
        </w:rPr>
        <w:t xml:space="preserve">Table minimum standards for asset, interest and beneficial-ownership disclosure.</w:t>
      </w:r>
    </w:p>
    <w:p>
      <w:pPr>
        <w:tabs>
          <w:tab w:val="left" w:pos="360"/>
        </w:tabs>
        <w:spacing w:after="110"/>
        <w:ind w:left="360" w:hanging="360"/>
      </w:pPr>
      <w:r>
        <w:rPr>
          <w:rFonts w:ascii="Consolas" w:cs="Consolas" w:eastAsia="Consolas" w:hAnsi="Consolas"/>
          <w:b/>
          <w:bCs/>
          <w:color w:val="B8892E"/>
          <w:sz w:val="19"/>
          <w:szCs w:val="19"/>
        </w:rPr>
        <w:t xml:space="preserve">6.3.	</w:t>
      </w:r>
      <w:r>
        <w:rPr>
          <w:rFonts w:ascii="Calibri" w:cs="Calibri" w:eastAsia="Calibri" w:hAnsi="Calibri"/>
          <w:color w:val="12241C"/>
          <w:sz w:val="20"/>
          <w:szCs w:val="20"/>
        </w:rPr>
        <w:t xml:space="preserve">Commission an independent baseline of case delay and institutional accountability performance.</w:t>
      </w:r>
    </w:p>
    <w:p>
      <w:pPr>
        <w:pStyle w:val="Heading3"/>
        <w:spacing w:after="90" w:before="220"/>
      </w:pPr>
      <w:r>
        <w:rPr>
          <w:rFonts w:ascii="Georgia" w:cs="Georgia" w:eastAsia="Georgia" w:hAnsi="Georgia"/>
          <w:b/>
          <w:bCs/>
          <w:color w:val="0B3D26"/>
          <w:sz w:val="22"/>
          <w:szCs w:val="22"/>
        </w:rPr>
        <w:t xml:space="preserve">Public performance indicators</w:t>
      </w:r>
    </w:p>
    <w:p>
      <w:pPr>
        <w:pStyle w:val="ListParagraph"/>
        <w:numPr>
          <w:ilvl w:val="0"/>
          <w:numId w:val="2"/>
        </w:numPr>
        <w:spacing w:after="90"/>
      </w:pPr>
      <w:r>
        <w:rPr>
          <w:rFonts w:ascii="Calibri" w:cs="Calibri" w:eastAsia="Calibri" w:hAnsi="Calibri"/>
          <w:b w:val="false"/>
          <w:bCs w:val="false"/>
          <w:color w:val="12241C"/>
          <w:sz w:val="21"/>
          <w:szCs w:val="21"/>
        </w:rPr>
        <w:t xml:space="preserve">% of high-value contracts published with full award/variation data</w:t>
      </w:r>
    </w:p>
    <w:p>
      <w:pPr>
        <w:pStyle w:val="ListParagraph"/>
        <w:numPr>
          <w:ilvl w:val="0"/>
          <w:numId w:val="2"/>
        </w:numPr>
        <w:spacing w:after="90"/>
      </w:pPr>
      <w:r>
        <w:rPr>
          <w:rFonts w:ascii="Calibri" w:cs="Calibri" w:eastAsia="Calibri" w:hAnsi="Calibri"/>
          <w:b w:val="false"/>
          <w:bCs w:val="false"/>
          <w:color w:val="12241C"/>
          <w:sz w:val="21"/>
          <w:szCs w:val="21"/>
        </w:rPr>
        <w:t xml:space="preserve">Asset &amp; interest declaration compliance rate</w:t>
      </w:r>
    </w:p>
    <w:p>
      <w:pPr>
        <w:pStyle w:val="ListParagraph"/>
        <w:numPr>
          <w:ilvl w:val="0"/>
          <w:numId w:val="2"/>
        </w:numPr>
        <w:spacing w:after="90"/>
      </w:pPr>
      <w:r>
        <w:rPr>
          <w:rFonts w:ascii="Calibri" w:cs="Calibri" w:eastAsia="Calibri" w:hAnsi="Calibri"/>
          <w:b w:val="false"/>
          <w:bCs w:val="false"/>
          <w:color w:val="12241C"/>
          <w:sz w:val="21"/>
          <w:szCs w:val="21"/>
        </w:rPr>
        <w:t xml:space="preserve">Median age of pending cases by category and district</w:t>
      </w:r>
    </w:p>
    <w:p>
      <w:pPr>
        <w:pStyle w:val="ListParagraph"/>
        <w:numPr>
          <w:ilvl w:val="0"/>
          <w:numId w:val="2"/>
        </w:numPr>
        <w:spacing w:after="90"/>
      </w:pPr>
      <w:r>
        <w:rPr>
          <w:rFonts w:ascii="Calibri" w:cs="Calibri" w:eastAsia="Calibri" w:hAnsi="Calibri"/>
          <w:b w:val="false"/>
          <w:bCs w:val="false"/>
          <w:color w:val="12241C"/>
          <w:sz w:val="21"/>
          <w:szCs w:val="21"/>
        </w:rPr>
        <w:t xml:space="preserve">Public complaints resolved within published timelines</w:t>
      </w:r>
    </w:p>
    <w:p>
      <w:pPr>
        <w:pStyle w:val="Heading2"/>
        <w:pBdr>
          <w:bottom w:val="single" w:color="C9A227" w:sz="4"/>
        </w:pBdr>
        <w:spacing w:after="120" w:before="320"/>
      </w:pPr>
      <w:r>
        <w:rPr>
          <w:rFonts w:ascii="Georgia" w:cs="Georgia" w:eastAsia="Georgia" w:hAnsi="Georgia"/>
          <w:b/>
          <w:bCs/>
          <w:color w:val="0B3D26"/>
          <w:sz w:val="27"/>
          <w:szCs w:val="27"/>
        </w:rPr>
        <w:t xml:space="preserve">Demand Two — Lower Inflation, Raise Household Income</w:t>
      </w:r>
    </w:p>
    <w:p>
      <w:pPr>
        <w:spacing w:after="140"/>
      </w:pPr>
      <w:r>
        <w:rPr>
          <w:rFonts w:ascii="Calibri" w:cs="Calibri" w:eastAsia="Calibri" w:hAnsi="Calibri"/>
          <w:i/>
          <w:iCs/>
          <w:color w:val="B8892E"/>
          <w:sz w:val="20"/>
          <w:szCs w:val="20"/>
        </w:rPr>
        <w:t xml:space="preserve">Not another price freeze — a fairer system underneath it.</w:t>
      </w:r>
    </w:p>
    <w:p>
      <w:pPr>
        <w:spacing w:after="160"/>
        <w:jc w:val="left"/>
      </w:pPr>
      <w:r>
        <w:rPr>
          <w:rFonts w:ascii="Calibri" w:cs="Calibri" w:eastAsia="Calibri" w:hAnsi="Calibri"/>
          <w:b w:val="false"/>
          <w:bCs w:val="false"/>
          <w:i w:val="false"/>
          <w:iCs w:val="false"/>
          <w:color w:val="12241C"/>
          <w:sz w:val="21"/>
          <w:szCs w:val="21"/>
        </w:rPr>
        <w:t xml:space="preserve">Sustainable relief cannot depend only on price controls. Pakistan needs competition, reliable supply, fair taxation, productive investment and targeted protection for vulnerable households.</w:t>
      </w:r>
    </w:p>
    <w:p>
      <w:pPr>
        <w:pStyle w:val="Heading3"/>
        <w:spacing w:after="90" w:before="220"/>
      </w:pPr>
      <w:r>
        <w:rPr>
          <w:rFonts w:ascii="Georgia" w:cs="Georgia" w:eastAsia="Georgia" w:hAnsi="Georgia"/>
          <w:b/>
          <w:bCs/>
          <w:color w:val="0B3D26"/>
          <w:sz w:val="22"/>
          <w:szCs w:val="22"/>
        </w:rPr>
        <w:t xml:space="preserve">Policy commitments</w:t>
      </w:r>
    </w:p>
    <w:p>
      <w:pPr>
        <w:pStyle w:val="ListParagraph"/>
        <w:numPr>
          <w:ilvl w:val="0"/>
          <w:numId w:val="2"/>
        </w:numPr>
        <w:spacing w:after="90"/>
      </w:pPr>
      <w:r>
        <w:rPr>
          <w:rFonts w:ascii="Calibri" w:cs="Calibri" w:eastAsia="Calibri" w:hAnsi="Calibri"/>
          <w:b w:val="false"/>
          <w:bCs w:val="false"/>
          <w:color w:val="12241C"/>
          <w:sz w:val="21"/>
          <w:szCs w:val="21"/>
        </w:rPr>
        <w:t xml:space="preserve">Review the minimum wage annually using inflation, productivity and essential household costs.</w:t>
      </w:r>
    </w:p>
    <w:p>
      <w:pPr>
        <w:pStyle w:val="ListParagraph"/>
        <w:numPr>
          <w:ilvl w:val="0"/>
          <w:numId w:val="2"/>
        </w:numPr>
        <w:spacing w:after="90"/>
      </w:pPr>
      <w:r>
        <w:rPr>
          <w:rFonts w:ascii="Calibri" w:cs="Calibri" w:eastAsia="Calibri" w:hAnsi="Calibri"/>
          <w:b w:val="false"/>
          <w:bCs w:val="false"/>
          <w:color w:val="12241C"/>
          <w:sz w:val="21"/>
          <w:szCs w:val="21"/>
        </w:rPr>
        <w:t xml:space="preserve">Broaden fair tax enforcement beyond salaried citizens while reducing exemptions and discretionary privileges.</w:t>
      </w:r>
    </w:p>
    <w:p>
      <w:pPr>
        <w:pStyle w:val="ListParagraph"/>
        <w:numPr>
          <w:ilvl w:val="0"/>
          <w:numId w:val="2"/>
        </w:numPr>
        <w:spacing w:after="90"/>
      </w:pPr>
      <w:r>
        <w:rPr>
          <w:rFonts w:ascii="Calibri" w:cs="Calibri" w:eastAsia="Calibri" w:hAnsi="Calibri"/>
          <w:b w:val="false"/>
          <w:bCs w:val="false"/>
          <w:color w:val="12241C"/>
          <w:sz w:val="21"/>
          <w:szCs w:val="21"/>
        </w:rPr>
        <w:t xml:space="preserve">Publish the annual cost of official vehicles, fuel, protocol and non-essential public benefits.</w:t>
      </w:r>
    </w:p>
    <w:p>
      <w:pPr>
        <w:pStyle w:val="ListParagraph"/>
        <w:numPr>
          <w:ilvl w:val="0"/>
          <w:numId w:val="2"/>
        </w:numPr>
        <w:spacing w:after="90"/>
      </w:pPr>
      <w:r>
        <w:rPr>
          <w:rFonts w:ascii="Calibri" w:cs="Calibri" w:eastAsia="Calibri" w:hAnsi="Calibri"/>
          <w:b w:val="false"/>
          <w:bCs w:val="false"/>
          <w:color w:val="12241C"/>
          <w:sz w:val="21"/>
          <w:szCs w:val="21"/>
        </w:rPr>
        <w:t xml:space="preserve">Release district-level price, stock and supply data for essential food, medicine and services.</w:t>
      </w:r>
    </w:p>
    <w:p>
      <w:pPr>
        <w:pStyle w:val="ListParagraph"/>
        <w:numPr>
          <w:ilvl w:val="0"/>
          <w:numId w:val="2"/>
        </w:numPr>
        <w:spacing w:after="90"/>
      </w:pPr>
      <w:r>
        <w:rPr>
          <w:rFonts w:ascii="Calibri" w:cs="Calibri" w:eastAsia="Calibri" w:hAnsi="Calibri"/>
          <w:b w:val="false"/>
          <w:bCs w:val="false"/>
          <w:color w:val="12241C"/>
          <w:sz w:val="21"/>
          <w:szCs w:val="21"/>
        </w:rPr>
        <w:t xml:space="preserve">Replace poorly targeted subsidies with direct, auditable support where practicable.</w:t>
      </w:r>
    </w:p>
    <w:p>
      <w:pPr>
        <w:pStyle w:val="Heading3"/>
        <w:spacing w:after="90" w:before="220"/>
      </w:pPr>
      <w:r>
        <w:rPr>
          <w:rFonts w:ascii="Georgia" w:cs="Georgia" w:eastAsia="Georgia" w:hAnsi="Georgia"/>
          <w:b/>
          <w:bCs/>
          <w:color w:val="0B3D26"/>
          <w:sz w:val="22"/>
          <w:szCs w:val="22"/>
        </w:rPr>
        <w:t xml:space="preserve">First 100-day institutional agenda</w:t>
      </w:r>
    </w:p>
    <w:p>
      <w:pPr>
        <w:tabs>
          <w:tab w:val="left" w:pos="360"/>
        </w:tabs>
        <w:spacing w:after="110"/>
        <w:ind w:left="360" w:hanging="360"/>
      </w:pPr>
      <w:r>
        <w:rPr>
          <w:rFonts w:ascii="Consolas" w:cs="Consolas" w:eastAsia="Consolas" w:hAnsi="Consolas"/>
          <w:b/>
          <w:bCs/>
          <w:color w:val="B8892E"/>
          <w:sz w:val="19"/>
          <w:szCs w:val="19"/>
        </w:rPr>
        <w:t xml:space="preserve">7.1.	</w:t>
      </w:r>
      <w:r>
        <w:rPr>
          <w:rFonts w:ascii="Calibri" w:cs="Calibri" w:eastAsia="Calibri" w:hAnsi="Calibri"/>
          <w:color w:val="12241C"/>
          <w:sz w:val="20"/>
          <w:szCs w:val="20"/>
        </w:rPr>
        <w:t xml:space="preserve">Publish a costed household-relief and tax-fairness note identifying winners, costs and funding.</w:t>
      </w:r>
    </w:p>
    <w:p>
      <w:pPr>
        <w:tabs>
          <w:tab w:val="left" w:pos="360"/>
        </w:tabs>
        <w:spacing w:after="110"/>
        <w:ind w:left="360" w:hanging="360"/>
      </w:pPr>
      <w:r>
        <w:rPr>
          <w:rFonts w:ascii="Consolas" w:cs="Consolas" w:eastAsia="Consolas" w:hAnsi="Consolas"/>
          <w:b/>
          <w:bCs/>
          <w:color w:val="B8892E"/>
          <w:sz w:val="19"/>
          <w:szCs w:val="19"/>
        </w:rPr>
        <w:t xml:space="preserve">7.2.	</w:t>
      </w:r>
      <w:r>
        <w:rPr>
          <w:rFonts w:ascii="Calibri" w:cs="Calibri" w:eastAsia="Calibri" w:hAnsi="Calibri"/>
          <w:color w:val="12241C"/>
          <w:sz w:val="20"/>
          <w:szCs w:val="20"/>
        </w:rPr>
        <w:t xml:space="preserve">Launch a public dashboard for essential commodity price and supply conditions.</w:t>
      </w:r>
    </w:p>
    <w:p>
      <w:pPr>
        <w:tabs>
          <w:tab w:val="left" w:pos="360"/>
        </w:tabs>
        <w:spacing w:after="110"/>
        <w:ind w:left="360" w:hanging="360"/>
      </w:pPr>
      <w:r>
        <w:rPr>
          <w:rFonts w:ascii="Consolas" w:cs="Consolas" w:eastAsia="Consolas" w:hAnsi="Consolas"/>
          <w:b/>
          <w:bCs/>
          <w:color w:val="B8892E"/>
          <w:sz w:val="19"/>
          <w:szCs w:val="19"/>
        </w:rPr>
        <w:t xml:space="preserve">7.3.	</w:t>
      </w:r>
      <w:r>
        <w:rPr>
          <w:rFonts w:ascii="Calibri" w:cs="Calibri" w:eastAsia="Calibri" w:hAnsi="Calibri"/>
          <w:color w:val="12241C"/>
          <w:sz w:val="20"/>
          <w:szCs w:val="20"/>
        </w:rPr>
        <w:t xml:space="preserve">Issue an expenditure review of non-essential privileges and administrative waste.</w:t>
      </w:r>
    </w:p>
    <w:p>
      <w:pPr>
        <w:pStyle w:val="Heading3"/>
        <w:spacing w:after="90" w:before="220"/>
      </w:pPr>
      <w:r>
        <w:rPr>
          <w:rFonts w:ascii="Georgia" w:cs="Georgia" w:eastAsia="Georgia" w:hAnsi="Georgia"/>
          <w:b/>
          <w:bCs/>
          <w:color w:val="0B3D26"/>
          <w:sz w:val="22"/>
          <w:szCs w:val="22"/>
        </w:rPr>
        <w:t xml:space="preserve">Public performance indicators</w:t>
      </w:r>
    </w:p>
    <w:p>
      <w:pPr>
        <w:pStyle w:val="ListParagraph"/>
        <w:numPr>
          <w:ilvl w:val="0"/>
          <w:numId w:val="2"/>
        </w:numPr>
        <w:spacing w:after="90"/>
      </w:pPr>
      <w:r>
        <w:rPr>
          <w:rFonts w:ascii="Calibri" w:cs="Calibri" w:eastAsia="Calibri" w:hAnsi="Calibri"/>
          <w:b w:val="false"/>
          <w:bCs w:val="false"/>
          <w:color w:val="12241C"/>
          <w:sz w:val="21"/>
          <w:szCs w:val="21"/>
        </w:rPr>
        <w:t xml:space="preserve">Real household income by income group</w:t>
      </w:r>
    </w:p>
    <w:p>
      <w:pPr>
        <w:pStyle w:val="ListParagraph"/>
        <w:numPr>
          <w:ilvl w:val="0"/>
          <w:numId w:val="2"/>
        </w:numPr>
        <w:spacing w:after="90"/>
      </w:pPr>
      <w:r>
        <w:rPr>
          <w:rFonts w:ascii="Calibri" w:cs="Calibri" w:eastAsia="Calibri" w:hAnsi="Calibri"/>
          <w:b w:val="false"/>
          <w:bCs w:val="false"/>
          <w:color w:val="12241C"/>
          <w:sz w:val="21"/>
          <w:szCs w:val="21"/>
        </w:rPr>
        <w:t xml:space="preserve">Food &amp; essential-medicine price dispersion across districts</w:t>
      </w:r>
    </w:p>
    <w:p>
      <w:pPr>
        <w:pStyle w:val="ListParagraph"/>
        <w:numPr>
          <w:ilvl w:val="0"/>
          <w:numId w:val="2"/>
        </w:numPr>
        <w:spacing w:after="90"/>
      </w:pPr>
      <w:r>
        <w:rPr>
          <w:rFonts w:ascii="Calibri" w:cs="Calibri" w:eastAsia="Calibri" w:hAnsi="Calibri"/>
          <w:b w:val="false"/>
          <w:bCs w:val="false"/>
          <w:color w:val="12241C"/>
          <w:sz w:val="21"/>
          <w:szCs w:val="21"/>
        </w:rPr>
        <w:t xml:space="preserve">Tax collection by income category and compliance gap</w:t>
      </w:r>
    </w:p>
    <w:p>
      <w:pPr>
        <w:pStyle w:val="ListParagraph"/>
        <w:numPr>
          <w:ilvl w:val="0"/>
          <w:numId w:val="2"/>
        </w:numPr>
        <w:spacing w:after="90"/>
      </w:pPr>
      <w:r>
        <w:rPr>
          <w:rFonts w:ascii="Calibri" w:cs="Calibri" w:eastAsia="Calibri" w:hAnsi="Calibri"/>
          <w:b w:val="false"/>
          <w:bCs w:val="false"/>
          <w:color w:val="12241C"/>
          <w:sz w:val="21"/>
          <w:szCs w:val="21"/>
        </w:rPr>
        <w:t xml:space="preserve">Non-essential public expenditure reduced or redirected</w:t>
      </w:r>
    </w:p>
    <w:p>
      <w:pPr>
        <w:pStyle w:val="Heading2"/>
        <w:pBdr>
          <w:bottom w:val="single" w:color="C9A227" w:sz="4"/>
        </w:pBdr>
        <w:spacing w:after="120" w:before="320"/>
      </w:pPr>
      <w:r>
        <w:rPr>
          <w:rFonts w:ascii="Georgia" w:cs="Georgia" w:eastAsia="Georgia" w:hAnsi="Georgia"/>
          <w:b/>
          <w:bCs/>
          <w:color w:val="0B3D26"/>
          <w:sz w:val="27"/>
          <w:szCs w:val="27"/>
        </w:rPr>
        <w:t xml:space="preserve">Demand Three — Skills, Work or Enterprise for Every Young Person</w:t>
      </w:r>
    </w:p>
    <w:p>
      <w:pPr>
        <w:spacing w:after="140"/>
      </w:pPr>
      <w:r>
        <w:rPr>
          <w:rFonts w:ascii="Calibri" w:cs="Calibri" w:eastAsia="Calibri" w:hAnsi="Calibri"/>
          <w:i/>
          <w:iCs/>
          <w:color w:val="B8892E"/>
          <w:sz w:val="20"/>
          <w:szCs w:val="20"/>
        </w:rPr>
        <w:t xml:space="preserve">Government can't hire everyone — it can stop blocking the door.</w:t>
      </w:r>
    </w:p>
    <w:p>
      <w:pPr>
        <w:spacing w:after="160"/>
        <w:jc w:val="left"/>
      </w:pPr>
      <w:r>
        <w:rPr>
          <w:rFonts w:ascii="Calibri" w:cs="Calibri" w:eastAsia="Calibri" w:hAnsi="Calibri"/>
          <w:b w:val="false"/>
          <w:bCs w:val="false"/>
          <w:i w:val="false"/>
          <w:iCs w:val="false"/>
          <w:color w:val="12241C"/>
          <w:sz w:val="21"/>
          <w:szCs w:val="21"/>
        </w:rPr>
        <w:t xml:space="preserve">Government cannot employ everyone, but it must create the conditions in which industry, technology, agriculture, exports, services and small businesses generate dignified work.</w:t>
      </w:r>
    </w:p>
    <w:p>
      <w:pPr>
        <w:pStyle w:val="Heading3"/>
        <w:spacing w:after="90" w:before="220"/>
      </w:pPr>
      <w:r>
        <w:rPr>
          <w:rFonts w:ascii="Georgia" w:cs="Georgia" w:eastAsia="Georgia" w:hAnsi="Georgia"/>
          <w:b/>
          <w:bCs/>
          <w:color w:val="0B3D26"/>
          <w:sz w:val="22"/>
          <w:szCs w:val="22"/>
        </w:rPr>
        <w:t xml:space="preserve">Policy commitments</w:t>
      </w:r>
    </w:p>
    <w:p>
      <w:pPr>
        <w:pStyle w:val="ListParagraph"/>
        <w:numPr>
          <w:ilvl w:val="0"/>
          <w:numId w:val="2"/>
        </w:numPr>
        <w:spacing w:after="90"/>
      </w:pPr>
      <w:r>
        <w:rPr>
          <w:rFonts w:ascii="Calibri" w:cs="Calibri" w:eastAsia="Calibri" w:hAnsi="Calibri"/>
          <w:b w:val="false"/>
          <w:bCs w:val="false"/>
          <w:color w:val="12241C"/>
          <w:sz w:val="21"/>
          <w:szCs w:val="21"/>
        </w:rPr>
        <w:t xml:space="preserve">A five-year national employment and productivity strategy with provincial and sector targets.</w:t>
      </w:r>
    </w:p>
    <w:p>
      <w:pPr>
        <w:pStyle w:val="ListParagraph"/>
        <w:numPr>
          <w:ilvl w:val="0"/>
          <w:numId w:val="2"/>
        </w:numPr>
        <w:spacing w:after="90"/>
      </w:pPr>
      <w:r>
        <w:rPr>
          <w:rFonts w:ascii="Calibri" w:cs="Calibri" w:eastAsia="Calibri" w:hAnsi="Calibri"/>
          <w:b w:val="false"/>
          <w:bCs w:val="false"/>
          <w:color w:val="12241C"/>
          <w:sz w:val="21"/>
          <w:szCs w:val="21"/>
        </w:rPr>
        <w:t xml:space="preserve">Paid internship and apprenticeship frameworks connecting universities and employers.</w:t>
      </w:r>
    </w:p>
    <w:p>
      <w:pPr>
        <w:pStyle w:val="ListParagraph"/>
        <w:numPr>
          <w:ilvl w:val="0"/>
          <w:numId w:val="2"/>
        </w:numPr>
        <w:spacing w:after="90"/>
      </w:pPr>
      <w:r>
        <w:rPr>
          <w:rFonts w:ascii="Calibri" w:cs="Calibri" w:eastAsia="Calibri" w:hAnsi="Calibri"/>
          <w:b w:val="false"/>
          <w:bCs w:val="false"/>
          <w:color w:val="12241C"/>
          <w:sz w:val="21"/>
          <w:szCs w:val="21"/>
        </w:rPr>
        <w:t xml:space="preserve">District skills programmes based on verified local market demand.</w:t>
      </w:r>
    </w:p>
    <w:p>
      <w:pPr>
        <w:pStyle w:val="ListParagraph"/>
        <w:numPr>
          <w:ilvl w:val="0"/>
          <w:numId w:val="2"/>
        </w:numPr>
        <w:spacing w:after="90"/>
      </w:pPr>
      <w:r>
        <w:rPr>
          <w:rFonts w:ascii="Calibri" w:cs="Calibri" w:eastAsia="Calibri" w:hAnsi="Calibri"/>
          <w:b w:val="false"/>
          <w:bCs w:val="false"/>
          <w:color w:val="12241C"/>
          <w:sz w:val="21"/>
          <w:szCs w:val="21"/>
        </w:rPr>
        <w:t xml:space="preserve">Simplified business registration, tax onboarding and digital compliance for small enterprises.</w:t>
      </w:r>
    </w:p>
    <w:p>
      <w:pPr>
        <w:pStyle w:val="ListParagraph"/>
        <w:numPr>
          <w:ilvl w:val="0"/>
          <w:numId w:val="2"/>
        </w:numPr>
        <w:spacing w:after="90"/>
      </w:pPr>
      <w:r>
        <w:rPr>
          <w:rFonts w:ascii="Calibri" w:cs="Calibri" w:eastAsia="Calibri" w:hAnsi="Calibri"/>
          <w:b w:val="false"/>
          <w:bCs w:val="false"/>
          <w:color w:val="12241C"/>
          <w:sz w:val="21"/>
          <w:szCs w:val="21"/>
        </w:rPr>
        <w:t xml:space="preserve">Transparent youth enterprise finance with published eligibility, repayment and outcome data.</w:t>
      </w:r>
    </w:p>
    <w:p>
      <w:pPr>
        <w:pStyle w:val="Heading3"/>
        <w:spacing w:after="90" w:before="220"/>
      </w:pPr>
      <w:r>
        <w:rPr>
          <w:rFonts w:ascii="Georgia" w:cs="Georgia" w:eastAsia="Georgia" w:hAnsi="Georgia"/>
          <w:b/>
          <w:bCs/>
          <w:color w:val="0B3D26"/>
          <w:sz w:val="22"/>
          <w:szCs w:val="22"/>
        </w:rPr>
        <w:t xml:space="preserve">First 100-day institutional agenda</w:t>
      </w:r>
    </w:p>
    <w:p>
      <w:pPr>
        <w:tabs>
          <w:tab w:val="left" w:pos="360"/>
        </w:tabs>
        <w:spacing w:after="110"/>
        <w:ind w:left="360" w:hanging="360"/>
      </w:pPr>
      <w:r>
        <w:rPr>
          <w:rFonts w:ascii="Consolas" w:cs="Consolas" w:eastAsia="Consolas" w:hAnsi="Consolas"/>
          <w:b/>
          <w:bCs/>
          <w:color w:val="B8892E"/>
          <w:sz w:val="19"/>
          <w:szCs w:val="19"/>
        </w:rPr>
        <w:t xml:space="preserve">8.1.	</w:t>
      </w:r>
      <w:r>
        <w:rPr>
          <w:rFonts w:ascii="Calibri" w:cs="Calibri" w:eastAsia="Calibri" w:hAnsi="Calibri"/>
          <w:color w:val="12241C"/>
          <w:sz w:val="20"/>
          <w:szCs w:val="20"/>
        </w:rPr>
        <w:t xml:space="preserve">Map high-demand occupations, skill shortages and apprenticeship capacity.</w:t>
      </w:r>
    </w:p>
    <w:p>
      <w:pPr>
        <w:tabs>
          <w:tab w:val="left" w:pos="360"/>
        </w:tabs>
        <w:spacing w:after="110"/>
        <w:ind w:left="360" w:hanging="360"/>
      </w:pPr>
      <w:r>
        <w:rPr>
          <w:rFonts w:ascii="Consolas" w:cs="Consolas" w:eastAsia="Consolas" w:hAnsi="Consolas"/>
          <w:b/>
          <w:bCs/>
          <w:color w:val="B8892E"/>
          <w:sz w:val="19"/>
          <w:szCs w:val="19"/>
        </w:rPr>
        <w:t xml:space="preserve">8.2.	</w:t>
      </w:r>
      <w:r>
        <w:rPr>
          <w:rFonts w:ascii="Calibri" w:cs="Calibri" w:eastAsia="Calibri" w:hAnsi="Calibri"/>
          <w:color w:val="12241C"/>
          <w:sz w:val="20"/>
          <w:szCs w:val="20"/>
        </w:rPr>
        <w:t xml:space="preserve">Publish a model paid-apprenticeship framework and employer incentive options.</w:t>
      </w:r>
    </w:p>
    <w:p>
      <w:pPr>
        <w:tabs>
          <w:tab w:val="left" w:pos="360"/>
        </w:tabs>
        <w:spacing w:after="110"/>
        <w:ind w:left="360" w:hanging="360"/>
      </w:pPr>
      <w:r>
        <w:rPr>
          <w:rFonts w:ascii="Consolas" w:cs="Consolas" w:eastAsia="Consolas" w:hAnsi="Consolas"/>
          <w:b/>
          <w:bCs/>
          <w:color w:val="B8892E"/>
          <w:sz w:val="19"/>
          <w:szCs w:val="19"/>
        </w:rPr>
        <w:t xml:space="preserve">8.3.	</w:t>
      </w:r>
      <w:r>
        <w:rPr>
          <w:rFonts w:ascii="Calibri" w:cs="Calibri" w:eastAsia="Calibri" w:hAnsi="Calibri"/>
          <w:color w:val="12241C"/>
          <w:sz w:val="20"/>
          <w:szCs w:val="20"/>
        </w:rPr>
        <w:t xml:space="preserve">Create a one-window prototype for starting and formalising a small business.</w:t>
      </w:r>
    </w:p>
    <w:p>
      <w:pPr>
        <w:pStyle w:val="Heading3"/>
        <w:spacing w:after="90" w:before="220"/>
      </w:pPr>
      <w:r>
        <w:rPr>
          <w:rFonts w:ascii="Georgia" w:cs="Georgia" w:eastAsia="Georgia" w:hAnsi="Georgia"/>
          <w:b/>
          <w:bCs/>
          <w:color w:val="0B3D26"/>
          <w:sz w:val="22"/>
          <w:szCs w:val="22"/>
        </w:rPr>
        <w:t xml:space="preserve">Public performance indicators</w:t>
      </w:r>
    </w:p>
    <w:p>
      <w:pPr>
        <w:pStyle w:val="ListParagraph"/>
        <w:numPr>
          <w:ilvl w:val="0"/>
          <w:numId w:val="2"/>
        </w:numPr>
        <w:spacing w:after="90"/>
      </w:pPr>
      <w:r>
        <w:rPr>
          <w:rFonts w:ascii="Calibri" w:cs="Calibri" w:eastAsia="Calibri" w:hAnsi="Calibri"/>
          <w:b w:val="false"/>
          <w:bCs w:val="false"/>
          <w:color w:val="12241C"/>
          <w:sz w:val="21"/>
          <w:szCs w:val="21"/>
        </w:rPr>
        <w:t xml:space="preserve">Youth employment &amp; labour-force participation</w:t>
      </w:r>
    </w:p>
    <w:p>
      <w:pPr>
        <w:pStyle w:val="ListParagraph"/>
        <w:numPr>
          <w:ilvl w:val="0"/>
          <w:numId w:val="2"/>
        </w:numPr>
        <w:spacing w:after="90"/>
      </w:pPr>
      <w:r>
        <w:rPr>
          <w:rFonts w:ascii="Calibri" w:cs="Calibri" w:eastAsia="Calibri" w:hAnsi="Calibri"/>
          <w:b w:val="false"/>
          <w:bCs w:val="false"/>
          <w:color w:val="12241C"/>
          <w:sz w:val="21"/>
          <w:szCs w:val="21"/>
        </w:rPr>
        <w:t xml:space="preserve">Apprenticeship completion &amp; job-conversion rates</w:t>
      </w:r>
    </w:p>
    <w:p>
      <w:pPr>
        <w:pStyle w:val="ListParagraph"/>
        <w:numPr>
          <w:ilvl w:val="0"/>
          <w:numId w:val="2"/>
        </w:numPr>
        <w:spacing w:after="90"/>
      </w:pPr>
      <w:r>
        <w:rPr>
          <w:rFonts w:ascii="Calibri" w:cs="Calibri" w:eastAsia="Calibri" w:hAnsi="Calibri"/>
          <w:b w:val="false"/>
          <w:bCs w:val="false"/>
          <w:color w:val="12241C"/>
          <w:sz w:val="21"/>
          <w:szCs w:val="21"/>
        </w:rPr>
        <w:t xml:space="preserve">New small enterprises surviving after 12 months</w:t>
      </w:r>
    </w:p>
    <w:p>
      <w:pPr>
        <w:pStyle w:val="ListParagraph"/>
        <w:numPr>
          <w:ilvl w:val="0"/>
          <w:numId w:val="2"/>
        </w:numPr>
        <w:spacing w:after="90"/>
      </w:pPr>
      <w:r>
        <w:rPr>
          <w:rFonts w:ascii="Calibri" w:cs="Calibri" w:eastAsia="Calibri" w:hAnsi="Calibri"/>
          <w:b w:val="false"/>
          <w:bCs w:val="false"/>
          <w:color w:val="12241C"/>
          <w:sz w:val="21"/>
          <w:szCs w:val="21"/>
        </w:rPr>
        <w:t xml:space="preserve">Training graduates employed/self-employed within 6 months</w:t>
      </w:r>
    </w:p>
    <w:p>
      <w:pPr>
        <w:pStyle w:val="Heading2"/>
        <w:pBdr>
          <w:bottom w:val="single" w:color="C9A227" w:sz="4"/>
        </w:pBdr>
        <w:spacing w:after="120" w:before="320"/>
      </w:pPr>
      <w:r>
        <w:rPr>
          <w:rFonts w:ascii="Georgia" w:cs="Georgia" w:eastAsia="Georgia" w:hAnsi="Georgia"/>
          <w:b/>
          <w:bCs/>
          <w:color w:val="0B3D26"/>
          <w:sz w:val="27"/>
          <w:szCs w:val="27"/>
        </w:rPr>
        <w:t xml:space="preserve">Demand Four — Affordable Electricity, Transparent Accounts</w:t>
      </w:r>
    </w:p>
    <w:p>
      <w:pPr>
        <w:spacing w:after="140"/>
      </w:pPr>
      <w:r>
        <w:rPr>
          <w:rFonts w:ascii="Calibri" w:cs="Calibri" w:eastAsia="Calibri" w:hAnsi="Calibri"/>
          <w:i/>
          <w:iCs/>
          <w:color w:val="B8892E"/>
          <w:sz w:val="20"/>
          <w:szCs w:val="20"/>
        </w:rPr>
        <w:t xml:space="preserve">Show us the bill before you send us the bill.</w:t>
      </w:r>
    </w:p>
    <w:p>
      <w:pPr>
        <w:spacing w:after="160"/>
        <w:jc w:val="left"/>
      </w:pPr>
      <w:r>
        <w:rPr>
          <w:rFonts w:ascii="Calibri" w:cs="Calibri" w:eastAsia="Calibri" w:hAnsi="Calibri"/>
          <w:b w:val="false"/>
          <w:bCs w:val="false"/>
          <w:i w:val="false"/>
          <w:iCs w:val="false"/>
          <w:color w:val="12241C"/>
          <w:sz w:val="21"/>
          <w:szCs w:val="21"/>
        </w:rPr>
        <w:t xml:space="preserve">Energy reform must protect consumers while confronting losses, theft, weak governance, capacity costs and opaque decisions. No promise is credible without a transparent financial and technical account.</w:t>
      </w:r>
    </w:p>
    <w:p>
      <w:pPr>
        <w:pStyle w:val="Heading3"/>
        <w:spacing w:after="90" w:before="220"/>
      </w:pPr>
      <w:r>
        <w:rPr>
          <w:rFonts w:ascii="Georgia" w:cs="Georgia" w:eastAsia="Georgia" w:hAnsi="Georgia"/>
          <w:b/>
          <w:bCs/>
          <w:color w:val="0B3D26"/>
          <w:sz w:val="22"/>
          <w:szCs w:val="22"/>
        </w:rPr>
        <w:t xml:space="preserve">Policy commitments</w:t>
      </w:r>
    </w:p>
    <w:p>
      <w:pPr>
        <w:pStyle w:val="ListParagraph"/>
        <w:numPr>
          <w:ilvl w:val="0"/>
          <w:numId w:val="2"/>
        </w:numPr>
        <w:spacing w:after="90"/>
      </w:pPr>
      <w:r>
        <w:rPr>
          <w:rFonts w:ascii="Calibri" w:cs="Calibri" w:eastAsia="Calibri" w:hAnsi="Calibri"/>
          <w:b w:val="false"/>
          <w:bCs w:val="false"/>
          <w:color w:val="12241C"/>
          <w:sz w:val="21"/>
          <w:szCs w:val="21"/>
        </w:rPr>
        <w:t xml:space="preserve">Publish standardised data on generation cost, capacity payments, transmission, distribution losses, recovery and subsidy.</w:t>
      </w:r>
    </w:p>
    <w:p>
      <w:pPr>
        <w:pStyle w:val="ListParagraph"/>
        <w:numPr>
          <w:ilvl w:val="0"/>
          <w:numId w:val="2"/>
        </w:numPr>
        <w:spacing w:after="90"/>
      </w:pPr>
      <w:r>
        <w:rPr>
          <w:rFonts w:ascii="Calibri" w:cs="Calibri" w:eastAsia="Calibri" w:hAnsi="Calibri"/>
          <w:b w:val="false"/>
          <w:bCs w:val="false"/>
          <w:color w:val="12241C"/>
          <w:sz w:val="21"/>
          <w:szCs w:val="21"/>
        </w:rPr>
        <w:t xml:space="preserve">Independent performance audits of distribution companies with area-wise loss and service data.</w:t>
      </w:r>
    </w:p>
    <w:p>
      <w:pPr>
        <w:pStyle w:val="ListParagraph"/>
        <w:numPr>
          <w:ilvl w:val="0"/>
          <w:numId w:val="2"/>
        </w:numPr>
        <w:spacing w:after="90"/>
      </w:pPr>
      <w:r>
        <w:rPr>
          <w:rFonts w:ascii="Calibri" w:cs="Calibri" w:eastAsia="Calibri" w:hAnsi="Calibri"/>
          <w:b w:val="false"/>
          <w:bCs w:val="false"/>
          <w:color w:val="12241C"/>
          <w:sz w:val="21"/>
          <w:szCs w:val="21"/>
        </w:rPr>
        <w:t xml:space="preserve">Time-bound investment in transmission, metering and theft reduction with consumer safeguards.</w:t>
      </w:r>
    </w:p>
    <w:p>
      <w:pPr>
        <w:pStyle w:val="ListParagraph"/>
        <w:numPr>
          <w:ilvl w:val="0"/>
          <w:numId w:val="2"/>
        </w:numPr>
        <w:spacing w:after="90"/>
      </w:pPr>
      <w:r>
        <w:rPr>
          <w:rFonts w:ascii="Calibri" w:cs="Calibri" w:eastAsia="Calibri" w:hAnsi="Calibri"/>
          <w:b w:val="false"/>
          <w:bCs w:val="false"/>
          <w:color w:val="12241C"/>
          <w:sz w:val="21"/>
          <w:szCs w:val="21"/>
        </w:rPr>
        <w:t xml:space="preserve">Protect lifeline consumers through transparent, targeted support instead of hidden cross-subsidies.</w:t>
      </w:r>
    </w:p>
    <w:p>
      <w:pPr>
        <w:pStyle w:val="ListParagraph"/>
        <w:numPr>
          <w:ilvl w:val="0"/>
          <w:numId w:val="2"/>
        </w:numPr>
        <w:spacing w:after="90"/>
      </w:pPr>
      <w:r>
        <w:rPr>
          <w:rFonts w:ascii="Calibri" w:cs="Calibri" w:eastAsia="Calibri" w:hAnsi="Calibri"/>
          <w:b w:val="false"/>
          <w:bCs w:val="false"/>
          <w:color w:val="12241C"/>
          <w:sz w:val="21"/>
          <w:szCs w:val="21"/>
        </w:rPr>
        <w:t xml:space="preserve">Competitive and lawful procurement for future power, storage and grid investment.</w:t>
      </w:r>
    </w:p>
    <w:p>
      <w:pPr>
        <w:pStyle w:val="Heading3"/>
        <w:spacing w:after="90" w:before="220"/>
      </w:pPr>
      <w:r>
        <w:rPr>
          <w:rFonts w:ascii="Georgia" w:cs="Georgia" w:eastAsia="Georgia" w:hAnsi="Georgia"/>
          <w:b/>
          <w:bCs/>
          <w:color w:val="0B3D26"/>
          <w:sz w:val="22"/>
          <w:szCs w:val="22"/>
        </w:rPr>
        <w:t xml:space="preserve">First 100-day institutional agenda</w:t>
      </w:r>
    </w:p>
    <w:p>
      <w:pPr>
        <w:tabs>
          <w:tab w:val="left" w:pos="360"/>
        </w:tabs>
        <w:spacing w:after="110"/>
        <w:ind w:left="360" w:hanging="360"/>
      </w:pPr>
      <w:r>
        <w:rPr>
          <w:rFonts w:ascii="Consolas" w:cs="Consolas" w:eastAsia="Consolas" w:hAnsi="Consolas"/>
          <w:b/>
          <w:bCs/>
          <w:color w:val="B8892E"/>
          <w:sz w:val="19"/>
          <w:szCs w:val="19"/>
        </w:rPr>
        <w:t xml:space="preserve">9.1.	</w:t>
      </w:r>
      <w:r>
        <w:rPr>
          <w:rFonts w:ascii="Calibri" w:cs="Calibri" w:eastAsia="Calibri" w:hAnsi="Calibri"/>
          <w:color w:val="12241C"/>
          <w:sz w:val="20"/>
          <w:szCs w:val="20"/>
        </w:rPr>
        <w:t xml:space="preserve">Release a plain-language electricity bill and sector cash-flow explanation.</w:t>
      </w:r>
    </w:p>
    <w:p>
      <w:pPr>
        <w:tabs>
          <w:tab w:val="left" w:pos="360"/>
        </w:tabs>
        <w:spacing w:after="110"/>
        <w:ind w:left="360" w:hanging="360"/>
      </w:pPr>
      <w:r>
        <w:rPr>
          <w:rFonts w:ascii="Consolas" w:cs="Consolas" w:eastAsia="Consolas" w:hAnsi="Consolas"/>
          <w:b/>
          <w:bCs/>
          <w:color w:val="B8892E"/>
          <w:sz w:val="19"/>
          <w:szCs w:val="19"/>
        </w:rPr>
        <w:t xml:space="preserve">9.2.	</w:t>
      </w:r>
      <w:r>
        <w:rPr>
          <w:rFonts w:ascii="Calibri" w:cs="Calibri" w:eastAsia="Calibri" w:hAnsi="Calibri"/>
          <w:color w:val="12241C"/>
          <w:sz w:val="20"/>
          <w:szCs w:val="20"/>
        </w:rPr>
        <w:t xml:space="preserve">Publish utility-level baseline data for losses, recovery, outages and complaint response.</w:t>
      </w:r>
    </w:p>
    <w:p>
      <w:pPr>
        <w:tabs>
          <w:tab w:val="left" w:pos="360"/>
        </w:tabs>
        <w:spacing w:after="110"/>
        <w:ind w:left="360" w:hanging="360"/>
      </w:pPr>
      <w:r>
        <w:rPr>
          <w:rFonts w:ascii="Consolas" w:cs="Consolas" w:eastAsia="Consolas" w:hAnsi="Consolas"/>
          <w:b/>
          <w:bCs/>
          <w:color w:val="B8892E"/>
          <w:sz w:val="19"/>
          <w:szCs w:val="19"/>
        </w:rPr>
        <w:t xml:space="preserve">9.3.	</w:t>
      </w:r>
      <w:r>
        <w:rPr>
          <w:rFonts w:ascii="Calibri" w:cs="Calibri" w:eastAsia="Calibri" w:hAnsi="Calibri"/>
          <w:color w:val="12241C"/>
          <w:sz w:val="20"/>
          <w:szCs w:val="20"/>
        </w:rPr>
        <w:t xml:space="preserve">Identify the first set of technical and governance interventions with cost and ownership.</w:t>
      </w:r>
    </w:p>
    <w:p>
      <w:pPr>
        <w:pStyle w:val="Heading3"/>
        <w:spacing w:after="90" w:before="220"/>
      </w:pPr>
      <w:r>
        <w:rPr>
          <w:rFonts w:ascii="Georgia" w:cs="Georgia" w:eastAsia="Georgia" w:hAnsi="Georgia"/>
          <w:b/>
          <w:bCs/>
          <w:color w:val="0B3D26"/>
          <w:sz w:val="22"/>
          <w:szCs w:val="22"/>
        </w:rPr>
        <w:t xml:space="preserve">Public performance indicators</w:t>
      </w:r>
    </w:p>
    <w:p>
      <w:pPr>
        <w:pStyle w:val="ListParagraph"/>
        <w:numPr>
          <w:ilvl w:val="0"/>
          <w:numId w:val="2"/>
        </w:numPr>
        <w:spacing w:after="90"/>
      </w:pPr>
      <w:r>
        <w:rPr>
          <w:rFonts w:ascii="Calibri" w:cs="Calibri" w:eastAsia="Calibri" w:hAnsi="Calibri"/>
          <w:b w:val="false"/>
          <w:bCs w:val="false"/>
          <w:color w:val="12241C"/>
          <w:sz w:val="21"/>
          <w:szCs w:val="21"/>
        </w:rPr>
        <w:t xml:space="preserve">Average tariff burden by household income group</w:t>
      </w:r>
    </w:p>
    <w:p>
      <w:pPr>
        <w:pStyle w:val="ListParagraph"/>
        <w:numPr>
          <w:ilvl w:val="0"/>
          <w:numId w:val="2"/>
        </w:numPr>
        <w:spacing w:after="90"/>
      </w:pPr>
      <w:r>
        <w:rPr>
          <w:rFonts w:ascii="Calibri" w:cs="Calibri" w:eastAsia="Calibri" w:hAnsi="Calibri"/>
          <w:b w:val="false"/>
          <w:bCs w:val="false"/>
          <w:color w:val="12241C"/>
          <w:sz w:val="21"/>
          <w:szCs w:val="21"/>
        </w:rPr>
        <w:t xml:space="preserve">Transmission &amp; distribution losses by utility</w:t>
      </w:r>
    </w:p>
    <w:p>
      <w:pPr>
        <w:pStyle w:val="ListParagraph"/>
        <w:numPr>
          <w:ilvl w:val="0"/>
          <w:numId w:val="2"/>
        </w:numPr>
        <w:spacing w:after="90"/>
      </w:pPr>
      <w:r>
        <w:rPr>
          <w:rFonts w:ascii="Calibri" w:cs="Calibri" w:eastAsia="Calibri" w:hAnsi="Calibri"/>
          <w:b w:val="false"/>
          <w:bCs w:val="false"/>
          <w:color w:val="12241C"/>
          <w:sz w:val="21"/>
          <w:szCs w:val="21"/>
        </w:rPr>
        <w:t xml:space="preserve">Outage duration &amp; complaint-resolution time</w:t>
      </w:r>
    </w:p>
    <w:p>
      <w:pPr>
        <w:pStyle w:val="ListParagraph"/>
        <w:numPr>
          <w:ilvl w:val="0"/>
          <w:numId w:val="2"/>
        </w:numPr>
        <w:spacing w:after="90"/>
      </w:pPr>
      <w:r>
        <w:rPr>
          <w:rFonts w:ascii="Calibri" w:cs="Calibri" w:eastAsia="Calibri" w:hAnsi="Calibri"/>
          <w:b w:val="false"/>
          <w:bCs w:val="false"/>
          <w:color w:val="12241C"/>
          <w:sz w:val="21"/>
          <w:szCs w:val="21"/>
        </w:rPr>
        <w:t xml:space="preserve">Circular-debt flow and stock reported consistently</w:t>
      </w:r>
    </w:p>
    <w:p>
      <w:pPr>
        <w:pStyle w:val="Heading2"/>
        <w:pBdr>
          <w:bottom w:val="single" w:color="C9A227" w:sz="4"/>
        </w:pBdr>
        <w:spacing w:after="120" w:before="320"/>
      </w:pPr>
      <w:r>
        <w:rPr>
          <w:rFonts w:ascii="Georgia" w:cs="Georgia" w:eastAsia="Georgia" w:hAnsi="Georgia"/>
          <w:b/>
          <w:bCs/>
          <w:color w:val="0B3D26"/>
          <w:sz w:val="27"/>
          <w:szCs w:val="27"/>
        </w:rPr>
        <w:t xml:space="preserve">Demand Five — Every Child in School, Every Young Person Skilled</w:t>
      </w:r>
    </w:p>
    <w:p>
      <w:pPr>
        <w:spacing w:after="140"/>
      </w:pPr>
      <w:r>
        <w:rPr>
          <w:rFonts w:ascii="Calibri" w:cs="Calibri" w:eastAsia="Calibri" w:hAnsi="Calibri"/>
          <w:i/>
          <w:iCs/>
          <w:color w:val="B8892E"/>
          <w:sz w:val="20"/>
          <w:szCs w:val="20"/>
        </w:rPr>
        <w:t xml:space="preserve">Not enrolment photos — attendance you can measure.</w:t>
      </w:r>
    </w:p>
    <w:p>
      <w:pPr>
        <w:spacing w:after="160"/>
        <w:jc w:val="left"/>
      </w:pPr>
      <w:r>
        <w:rPr>
          <w:rFonts w:ascii="Calibri" w:cs="Calibri" w:eastAsia="Calibri" w:hAnsi="Calibri"/>
          <w:b w:val="false"/>
          <w:bCs w:val="false"/>
          <w:i w:val="false"/>
          <w:iCs w:val="false"/>
          <w:color w:val="12241C"/>
          <w:sz w:val="21"/>
          <w:szCs w:val="21"/>
        </w:rPr>
        <w:t xml:space="preserve">Education is not measured by buildings or enrolment announcements alone. It must deliver attendance, safety, literacy, numeracy, digital capability, citizenship and a pathway to further learning or work.</w:t>
      </w:r>
    </w:p>
    <w:p>
      <w:pPr>
        <w:pStyle w:val="Heading3"/>
        <w:spacing w:after="90" w:before="220"/>
      </w:pPr>
      <w:r>
        <w:rPr>
          <w:rFonts w:ascii="Georgia" w:cs="Georgia" w:eastAsia="Georgia" w:hAnsi="Georgia"/>
          <w:b/>
          <w:bCs/>
          <w:color w:val="0B3D26"/>
          <w:sz w:val="22"/>
          <w:szCs w:val="22"/>
        </w:rPr>
        <w:t xml:space="preserve">Policy commitments</w:t>
      </w:r>
    </w:p>
    <w:p>
      <w:pPr>
        <w:pStyle w:val="ListParagraph"/>
        <w:numPr>
          <w:ilvl w:val="0"/>
          <w:numId w:val="2"/>
        </w:numPr>
        <w:spacing w:after="90"/>
      </w:pPr>
      <w:r>
        <w:rPr>
          <w:rFonts w:ascii="Calibri" w:cs="Calibri" w:eastAsia="Calibri" w:hAnsi="Calibri"/>
          <w:b w:val="false"/>
          <w:bCs w:val="false"/>
          <w:color w:val="12241C"/>
          <w:sz w:val="21"/>
          <w:szCs w:val="21"/>
        </w:rPr>
        <w:t xml:space="preserve">A verified national and provincial plan to identify and enrol out-of-school children.</w:t>
      </w:r>
    </w:p>
    <w:p>
      <w:pPr>
        <w:pStyle w:val="ListParagraph"/>
        <w:numPr>
          <w:ilvl w:val="0"/>
          <w:numId w:val="2"/>
        </w:numPr>
        <w:spacing w:after="90"/>
      </w:pPr>
      <w:r>
        <w:rPr>
          <w:rFonts w:ascii="Calibri" w:cs="Calibri" w:eastAsia="Calibri" w:hAnsi="Calibri"/>
          <w:b w:val="false"/>
          <w:bCs w:val="false"/>
          <w:color w:val="12241C"/>
          <w:sz w:val="21"/>
          <w:szCs w:val="21"/>
        </w:rPr>
        <w:t xml:space="preserve">Foundational literacy and numeracy targets measured through independent sample assessment.</w:t>
      </w:r>
    </w:p>
    <w:p>
      <w:pPr>
        <w:pStyle w:val="ListParagraph"/>
        <w:numPr>
          <w:ilvl w:val="0"/>
          <w:numId w:val="2"/>
        </w:numPr>
        <w:spacing w:after="90"/>
      </w:pPr>
      <w:r>
        <w:rPr>
          <w:rFonts w:ascii="Calibri" w:cs="Calibri" w:eastAsia="Calibri" w:hAnsi="Calibri"/>
          <w:b w:val="false"/>
          <w:bCs w:val="false"/>
          <w:color w:val="12241C"/>
          <w:sz w:val="21"/>
          <w:szCs w:val="21"/>
        </w:rPr>
        <w:t xml:space="preserve">Transparent teacher attendance, support, training and merit-based deployment.</w:t>
      </w:r>
    </w:p>
    <w:p>
      <w:pPr>
        <w:pStyle w:val="ListParagraph"/>
        <w:numPr>
          <w:ilvl w:val="0"/>
          <w:numId w:val="2"/>
        </w:numPr>
        <w:spacing w:after="90"/>
      </w:pPr>
      <w:r>
        <w:rPr>
          <w:rFonts w:ascii="Calibri" w:cs="Calibri" w:eastAsia="Calibri" w:hAnsi="Calibri"/>
          <w:b w:val="false"/>
          <w:bCs w:val="false"/>
          <w:color w:val="12241C"/>
          <w:sz w:val="21"/>
          <w:szCs w:val="21"/>
        </w:rPr>
        <w:t xml:space="preserve">Safe schools with minimum standards for water, sanitation, boundary protection and safeguarding.</w:t>
      </w:r>
    </w:p>
    <w:p>
      <w:pPr>
        <w:pStyle w:val="ListParagraph"/>
        <w:numPr>
          <w:ilvl w:val="0"/>
          <w:numId w:val="2"/>
        </w:numPr>
        <w:spacing w:after="90"/>
      </w:pPr>
      <w:r>
        <w:rPr>
          <w:rFonts w:ascii="Calibri" w:cs="Calibri" w:eastAsia="Calibri" w:hAnsi="Calibri"/>
          <w:b w:val="false"/>
          <w:bCs w:val="false"/>
          <w:color w:val="12241C"/>
          <w:sz w:val="21"/>
          <w:szCs w:val="21"/>
        </w:rPr>
        <w:t xml:space="preserve">Career guidance, technical options and digital learning linked to labour-market demand.</w:t>
      </w:r>
    </w:p>
    <w:p>
      <w:pPr>
        <w:pStyle w:val="Heading3"/>
        <w:spacing w:after="90" w:before="220"/>
      </w:pPr>
      <w:r>
        <w:rPr>
          <w:rFonts w:ascii="Georgia" w:cs="Georgia" w:eastAsia="Georgia" w:hAnsi="Georgia"/>
          <w:b/>
          <w:bCs/>
          <w:color w:val="0B3D26"/>
          <w:sz w:val="22"/>
          <w:szCs w:val="22"/>
        </w:rPr>
        <w:t xml:space="preserve">First 100-day institutional agenda</w:t>
      </w:r>
    </w:p>
    <w:p>
      <w:pPr>
        <w:tabs>
          <w:tab w:val="left" w:pos="360"/>
        </w:tabs>
        <w:spacing w:after="110"/>
        <w:ind w:left="360" w:hanging="360"/>
      </w:pPr>
      <w:r>
        <w:rPr>
          <w:rFonts w:ascii="Consolas" w:cs="Consolas" w:eastAsia="Consolas" w:hAnsi="Consolas"/>
          <w:b/>
          <w:bCs/>
          <w:color w:val="B8892E"/>
          <w:sz w:val="19"/>
          <w:szCs w:val="19"/>
        </w:rPr>
        <w:t xml:space="preserve">10.1.	</w:t>
      </w:r>
      <w:r>
        <w:rPr>
          <w:rFonts w:ascii="Calibri" w:cs="Calibri" w:eastAsia="Calibri" w:hAnsi="Calibri"/>
          <w:color w:val="12241C"/>
          <w:sz w:val="20"/>
          <w:szCs w:val="20"/>
        </w:rPr>
        <w:t xml:space="preserve">Publish district baselines for enrolment, attendance, learning and school facilities.</w:t>
      </w:r>
    </w:p>
    <w:p>
      <w:pPr>
        <w:tabs>
          <w:tab w:val="left" w:pos="360"/>
        </w:tabs>
        <w:spacing w:after="110"/>
        <w:ind w:left="360" w:hanging="360"/>
      </w:pPr>
      <w:r>
        <w:rPr>
          <w:rFonts w:ascii="Consolas" w:cs="Consolas" w:eastAsia="Consolas" w:hAnsi="Consolas"/>
          <w:b/>
          <w:bCs/>
          <w:color w:val="B8892E"/>
          <w:sz w:val="19"/>
          <w:szCs w:val="19"/>
        </w:rPr>
        <w:t xml:space="preserve">10.2.	</w:t>
      </w:r>
      <w:r>
        <w:rPr>
          <w:rFonts w:ascii="Calibri" w:cs="Calibri" w:eastAsia="Calibri" w:hAnsi="Calibri"/>
          <w:color w:val="12241C"/>
          <w:sz w:val="20"/>
          <w:szCs w:val="20"/>
        </w:rPr>
        <w:t xml:space="preserve">Define minimum school standards and a transparent priority list for urgent repair.</w:t>
      </w:r>
    </w:p>
    <w:p>
      <w:pPr>
        <w:tabs>
          <w:tab w:val="left" w:pos="360"/>
        </w:tabs>
        <w:spacing w:after="110"/>
        <w:ind w:left="360" w:hanging="360"/>
      </w:pPr>
      <w:r>
        <w:rPr>
          <w:rFonts w:ascii="Consolas" w:cs="Consolas" w:eastAsia="Consolas" w:hAnsi="Consolas"/>
          <w:b/>
          <w:bCs/>
          <w:color w:val="B8892E"/>
          <w:sz w:val="19"/>
          <w:szCs w:val="19"/>
        </w:rPr>
        <w:t xml:space="preserve">10.3.	</w:t>
      </w:r>
      <w:r>
        <w:rPr>
          <w:rFonts w:ascii="Calibri" w:cs="Calibri" w:eastAsia="Calibri" w:hAnsi="Calibri"/>
          <w:color w:val="12241C"/>
          <w:sz w:val="20"/>
          <w:szCs w:val="20"/>
        </w:rPr>
        <w:t xml:space="preserve">Launch independently measured foundational-learning pilots in selected districts.</w:t>
      </w:r>
    </w:p>
    <w:p>
      <w:pPr>
        <w:pStyle w:val="Heading3"/>
        <w:spacing w:after="90" w:before="220"/>
      </w:pPr>
      <w:r>
        <w:rPr>
          <w:rFonts w:ascii="Georgia" w:cs="Georgia" w:eastAsia="Georgia" w:hAnsi="Georgia"/>
          <w:b/>
          <w:bCs/>
          <w:color w:val="0B3D26"/>
          <w:sz w:val="22"/>
          <w:szCs w:val="22"/>
        </w:rPr>
        <w:t xml:space="preserve">Public performance indicators</w:t>
      </w:r>
    </w:p>
    <w:p>
      <w:pPr>
        <w:pStyle w:val="ListParagraph"/>
        <w:numPr>
          <w:ilvl w:val="0"/>
          <w:numId w:val="2"/>
        </w:numPr>
        <w:spacing w:after="90"/>
      </w:pPr>
      <w:r>
        <w:rPr>
          <w:rFonts w:ascii="Calibri" w:cs="Calibri" w:eastAsia="Calibri" w:hAnsi="Calibri"/>
          <w:b w:val="false"/>
          <w:bCs w:val="false"/>
          <w:color w:val="12241C"/>
          <w:sz w:val="21"/>
          <w:szCs w:val="21"/>
        </w:rPr>
        <w:t xml:space="preserve">Out-of-school children identified, enrolled and retained</w:t>
      </w:r>
    </w:p>
    <w:p>
      <w:pPr>
        <w:pStyle w:val="ListParagraph"/>
        <w:numPr>
          <w:ilvl w:val="0"/>
          <w:numId w:val="2"/>
        </w:numPr>
        <w:spacing w:after="90"/>
      </w:pPr>
      <w:r>
        <w:rPr>
          <w:rFonts w:ascii="Calibri" w:cs="Calibri" w:eastAsia="Calibri" w:hAnsi="Calibri"/>
          <w:b w:val="false"/>
          <w:bCs w:val="false"/>
          <w:color w:val="12241C"/>
          <w:sz w:val="21"/>
          <w:szCs w:val="21"/>
        </w:rPr>
        <w:t xml:space="preserve">Grade-appropriate literacy &amp; numeracy performance</w:t>
      </w:r>
    </w:p>
    <w:p>
      <w:pPr>
        <w:pStyle w:val="ListParagraph"/>
        <w:numPr>
          <w:ilvl w:val="0"/>
          <w:numId w:val="2"/>
        </w:numPr>
        <w:spacing w:after="90"/>
      </w:pPr>
      <w:r>
        <w:rPr>
          <w:rFonts w:ascii="Calibri" w:cs="Calibri" w:eastAsia="Calibri" w:hAnsi="Calibri"/>
          <w:b w:val="false"/>
          <w:bCs w:val="false"/>
          <w:color w:val="12241C"/>
          <w:sz w:val="21"/>
          <w:szCs w:val="21"/>
        </w:rPr>
        <w:t xml:space="preserve">Teacher attendance &amp; vacancy rates</w:t>
      </w:r>
    </w:p>
    <w:p>
      <w:pPr>
        <w:pStyle w:val="ListParagraph"/>
        <w:numPr>
          <w:ilvl w:val="0"/>
          <w:numId w:val="2"/>
        </w:numPr>
        <w:spacing w:after="90"/>
      </w:pPr>
      <w:r>
        <w:rPr>
          <w:rFonts w:ascii="Calibri" w:cs="Calibri" w:eastAsia="Calibri" w:hAnsi="Calibri"/>
          <w:b w:val="false"/>
          <w:bCs w:val="false"/>
          <w:color w:val="12241C"/>
          <w:sz w:val="21"/>
          <w:szCs w:val="21"/>
        </w:rPr>
        <w:t xml:space="preserve">Schools meeting safety/water/sanitation standards</w:t>
      </w:r>
    </w:p>
    <w:tbl>
      <w:tblPr>
        <w:tblW w:type="pct" w:w="100%"/>
        <w:tblBorders>
          <w:top w:val="none"/>
          <w:left w:val="none"/>
          <w:bottom w:val="none"/>
          <w:right w:val="none"/>
          <w:insideH w:val="none"/>
          <w:insideV w:val="none"/>
        </w:tblBorders>
      </w:tblPr>
      <w:tblGrid>
        <w:gridCol w:w="100"/>
      </w:tblGrid>
      <w:tr>
        <w:tc>
          <w:tcPr>
            <w:shd w:fill="E7EFE9" w:val="clear"/>
            <w:tcMar>
              <w:top w:type="dxa" w:w="200"/>
              <w:left w:type="dxa" w:w="240"/>
              <w:bottom w:type="dxa" w:w="200"/>
              <w:right w:type="dxa" w:w="240"/>
            </w:tcMar>
          </w:tcPr>
          <w:p>
            <w:r>
              <w:rPr>
                <w:rFonts w:ascii="Consolas" w:cs="Consolas" w:eastAsia="Consolas" w:hAnsi="Consolas"/>
                <w:b/>
                <w:bCs/>
                <w:color w:val="0B3D26"/>
                <w:sz w:val="18"/>
                <w:szCs w:val="18"/>
              </w:rPr>
              <w:t xml:space="preserve">POLICY HONESTY — </w:t>
            </w:r>
            <w:r>
              <w:rPr>
                <w:rFonts w:ascii="Calibri" w:cs="Calibri" w:eastAsia="Calibri" w:hAnsi="Calibri"/>
                <w:color w:val="12241C"/>
                <w:sz w:val="20"/>
                <w:szCs w:val="20"/>
              </w:rPr>
              <w:t xml:space="preserve">PCP will not promise benefits without identifying cost, legal authority, implementation capacity, trade-offs and a source of funding. Every national demand is supported by a public policy paper.</w:t>
            </w:r>
          </w:p>
        </w:tc>
      </w:tr>
    </w:tbl>
    <w:p>
      <w:r>
        <w:br w:type="page"/>
      </w:r>
    </w:p>
    <w:tbl>
      <w:tblPr>
        <w:tblW w:type="pct" w:w="100%"/>
        <w:tblBorders>
          <w:top w:val="none"/>
          <w:left w:val="none"/>
          <w:bottom w:val="none"/>
          <w:right w:val="none"/>
          <w:insideH w:val="none"/>
          <w:insideV w:val="none"/>
        </w:tblBorders>
      </w:tblPr>
      <w:tblGrid>
        <w:gridCol w:w="100"/>
      </w:tblGrid>
      <w:tr>
        <w:tc>
          <w:tcPr>
            <w:shd w:fill="0B3D26" w:val="clear"/>
            <w:tcMar>
              <w:top w:type="dxa" w:w="260"/>
              <w:left w:type="dxa" w:w="260"/>
              <w:bottom w:type="dxa" w:w="260"/>
              <w:right w:type="dxa" w:w="260"/>
            </w:tcMar>
          </w:tcPr>
          <w:p>
            <w:pPr>
              <w:spacing w:after="60"/>
            </w:pPr>
            <w:r>
              <w:rPr>
                <w:rFonts w:ascii="Consolas" w:cs="Consolas" w:eastAsia="Consolas" w:hAnsi="Consolas"/>
                <w:b/>
                <w:bCs/>
                <w:color w:val="C9A227"/>
                <w:spacing w:val="20"/>
                <w:sz w:val="18"/>
                <w:szCs w:val="18"/>
              </w:rPr>
              <w:t xml:space="preserve">PART III</w:t>
            </w:r>
          </w:p>
          <w:p>
            <w:pPr>
              <w:pStyle w:val="Heading1"/>
              <w:spacing w:after="100"/>
            </w:pPr>
            <w:r>
              <w:rPr>
                <w:rFonts w:ascii="Georgia" w:cs="Georgia" w:eastAsia="Georgia" w:hAnsi="Georgia"/>
                <w:b/>
                <w:bCs/>
                <w:color w:val="FFFFFF"/>
                <w:sz w:val="40"/>
                <w:szCs w:val="40"/>
              </w:rPr>
              <w:t xml:space="preserve">Organisation and Governance</w:t>
            </w:r>
          </w:p>
          <w:p>
            <w:r>
              <w:rPr>
                <w:rFonts w:ascii="Calibri" w:cs="Calibri" w:eastAsia="Calibri" w:hAnsi="Calibri"/>
                <w:color w:val="F6F1E4"/>
                <w:sz w:val="21"/>
                <w:szCs w:val="21"/>
              </w:rPr>
              <w:t xml:space="preserve">A movement demanding accountability from the state must first practise accountability within itself.</w:t>
            </w:r>
          </w:p>
        </w:tc>
      </w:tr>
    </w:tbl>
    <w:p>
      <w:pPr>
        <w:spacing w:after="200"/>
      </w:pPr>
    </w:p>
    <w:p>
      <w:pPr>
        <w:pStyle w:val="Heading2"/>
        <w:pBdr>
          <w:bottom w:val="single" w:color="C9A227" w:sz="4"/>
        </w:pBdr>
        <w:spacing w:after="120" w:before="320"/>
      </w:pPr>
      <w:r>
        <w:rPr>
          <w:rFonts w:ascii="Georgia" w:cs="Georgia" w:eastAsia="Georgia" w:hAnsi="Georgia"/>
          <w:b/>
          <w:bCs/>
          <w:color w:val="0B3D26"/>
          <w:sz w:val="27"/>
          <w:szCs w:val="27"/>
        </w:rPr>
        <w:t xml:space="preserve">11. Constitutional and Organisational Character</w:t>
      </w:r>
    </w:p>
    <w:p>
      <w:pPr>
        <w:spacing w:after="160"/>
        <w:jc w:val="left"/>
      </w:pPr>
      <w:r>
        <w:rPr>
          <w:rFonts w:ascii="Calibri" w:cs="Calibri" w:eastAsia="Calibri" w:hAnsi="Calibri"/>
          <w:b w:val="false"/>
          <w:bCs w:val="false"/>
          <w:i w:val="false"/>
          <w:iCs w:val="false"/>
          <w:color w:val="12241C"/>
          <w:sz w:val="21"/>
          <w:szCs w:val="21"/>
        </w:rPr>
        <w:t xml:space="preserve">PCP should obtain independent legal advice before registering, fundraising, nominating candidates, conducting public assemblies or establishing foreign links. This manual is not a substitute for the Constitution of Pakistan, election law, political-party law, tax law, data requirements, public-order law or any direction of a competent authority.</w:t>
      </w:r>
    </w:p>
    <w:p>
      <w:pPr>
        <w:pStyle w:val="ListParagraph"/>
        <w:numPr>
          <w:ilvl w:val="0"/>
          <w:numId w:val="2"/>
        </w:numPr>
        <w:spacing w:after="90"/>
      </w:pPr>
      <w:r>
        <w:rPr>
          <w:rFonts w:ascii="Calibri" w:cs="Calibri" w:eastAsia="Calibri" w:hAnsi="Calibri"/>
          <w:b w:val="false"/>
          <w:bCs w:val="false"/>
          <w:color w:val="12241C"/>
          <w:sz w:val="21"/>
          <w:szCs w:val="21"/>
        </w:rPr>
        <w:t xml:space="preserve">No founder, office holder or donor is above the PCP constitution or code of conduct.</w:t>
      </w:r>
    </w:p>
    <w:p>
      <w:pPr>
        <w:pStyle w:val="ListParagraph"/>
        <w:numPr>
          <w:ilvl w:val="0"/>
          <w:numId w:val="2"/>
        </w:numPr>
        <w:spacing w:after="90"/>
      </w:pPr>
      <w:r>
        <w:rPr>
          <w:rFonts w:ascii="Calibri" w:cs="Calibri" w:eastAsia="Calibri" w:hAnsi="Calibri"/>
          <w:b w:val="false"/>
          <w:bCs w:val="false"/>
          <w:color w:val="12241C"/>
          <w:sz w:val="21"/>
          <w:szCs w:val="21"/>
        </w:rPr>
        <w:t xml:space="preserve">Leadership terms, eligibility, removal and appeal must be written and published internally.</w:t>
      </w:r>
    </w:p>
    <w:p>
      <w:pPr>
        <w:pStyle w:val="ListParagraph"/>
        <w:numPr>
          <w:ilvl w:val="0"/>
          <w:numId w:val="2"/>
        </w:numPr>
        <w:spacing w:after="90"/>
      </w:pPr>
      <w:r>
        <w:rPr>
          <w:rFonts w:ascii="Calibri" w:cs="Calibri" w:eastAsia="Calibri" w:hAnsi="Calibri"/>
          <w:b w:val="false"/>
          <w:bCs w:val="false"/>
          <w:color w:val="12241C"/>
          <w:sz w:val="21"/>
          <w:szCs w:val="21"/>
        </w:rPr>
        <w:t xml:space="preserve">Minutes must record decisions, responsible persons, deadlines and declared conflicts.</w:t>
      </w:r>
    </w:p>
    <w:p>
      <w:pPr>
        <w:pStyle w:val="ListParagraph"/>
        <w:numPr>
          <w:ilvl w:val="0"/>
          <w:numId w:val="2"/>
        </w:numPr>
        <w:spacing w:after="90"/>
      </w:pPr>
      <w:r>
        <w:rPr>
          <w:rFonts w:ascii="Calibri" w:cs="Calibri" w:eastAsia="Calibri" w:hAnsi="Calibri"/>
          <w:b w:val="false"/>
          <w:bCs w:val="false"/>
          <w:color w:val="12241C"/>
          <w:sz w:val="21"/>
          <w:szCs w:val="21"/>
        </w:rPr>
        <w:t xml:space="preserve">Women, provinces, regions and varied social backgrounds must have meaningful participation.</w:t>
      </w:r>
    </w:p>
    <w:p>
      <w:pPr>
        <w:pStyle w:val="ListParagraph"/>
        <w:numPr>
          <w:ilvl w:val="0"/>
          <w:numId w:val="2"/>
        </w:numPr>
        <w:spacing w:after="90"/>
      </w:pPr>
      <w:r>
        <w:rPr>
          <w:rFonts w:ascii="Calibri" w:cs="Calibri" w:eastAsia="Calibri" w:hAnsi="Calibri"/>
          <w:b w:val="false"/>
          <w:bCs w:val="false"/>
          <w:color w:val="12241C"/>
          <w:sz w:val="21"/>
          <w:szCs w:val="21"/>
        </w:rPr>
        <w:t xml:space="preserve">An office is a temporary responsibility, not personal property.</w:t>
      </w:r>
    </w:p>
    <w:p>
      <w:pPr>
        <w:pStyle w:val="Heading2"/>
        <w:pBdr>
          <w:bottom w:val="single" w:color="C9A227" w:sz="4"/>
        </w:pBdr>
        <w:spacing w:after="120" w:before="320"/>
      </w:pPr>
      <w:r>
        <w:rPr>
          <w:rFonts w:ascii="Georgia" w:cs="Georgia" w:eastAsia="Georgia" w:hAnsi="Georgia"/>
          <w:b/>
          <w:bCs/>
          <w:color w:val="0B3D26"/>
          <w:sz w:val="27"/>
          <w:szCs w:val="27"/>
        </w:rPr>
        <w:t xml:space="preserve">12. Proposed Governance Structure</w:t>
      </w:r>
    </w:p>
    <w:tbl>
      <w:tblPr>
        <w:tblW w:type="pct" w:w="100%"/>
        <w:tblBorders>
          <w:top w:val="single" w:color="CCCCCC" w:sz="2"/>
          <w:left w:val="single" w:color="CCCCCC" w:sz="2"/>
          <w:bottom w:val="single" w:color="CCCCCC" w:sz="2"/>
          <w:right w:val="single" w:color="CCCCCC" w:sz="2"/>
          <w:insideH w:val="single" w:color="E3DFD3" w:sz="2"/>
          <w:insideV w:val="single" w:color="E3DFD3" w:sz="2"/>
        </w:tblBorders>
      </w:tblPr>
      <w:tblGrid>
        <w:gridCol w:w="2800"/>
        <w:gridCol w:w="4000"/>
        <w:gridCol w:w="2550"/>
      </w:tblGrid>
      <w:tr>
        <w:trPr>
          <w:tblHeader/>
        </w:trPr>
        <w:tc>
          <w:tcPr>
            <w:tcW w:type="dxa" w:w="28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Body / Role</w:t>
            </w:r>
          </w:p>
        </w:tc>
        <w:tc>
          <w:tcPr>
            <w:tcW w:type="dxa" w:w="40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Primary Responsibility</w:t>
            </w:r>
          </w:p>
        </w:tc>
        <w:tc>
          <w:tcPr>
            <w:tcW w:type="dxa" w:w="255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Accountability</w:t>
            </w:r>
          </w:p>
        </w:tc>
      </w:tr>
      <w:tr>
        <w:tc>
          <w:tcPr>
            <w:tcW w:type="dxa" w:w="2800"/>
            <w:shd w:fill="FFFFFF" w:val="clear"/>
            <w:tcMar>
              <w:top w:type="dxa" w:w="110"/>
              <w:left w:type="dxa" w:w="140"/>
              <w:bottom w:type="dxa" w:w="110"/>
              <w:right w:type="dxa" w:w="140"/>
            </w:tcMar>
          </w:tcPr>
          <w:p>
            <w:r>
              <w:rPr>
                <w:rFonts w:ascii="Calibri" w:cs="Calibri" w:eastAsia="Calibri" w:hAnsi="Calibri"/>
                <w:color w:val="12241C"/>
                <w:sz w:val="19"/>
                <w:szCs w:val="19"/>
              </w:rPr>
              <w:t xml:space="preserve">National General Council</w:t>
            </w:r>
          </w:p>
        </w:tc>
        <w:tc>
          <w:tcPr>
            <w:tcW w:type="dxa" w:w="4000"/>
            <w:shd w:fill="FFFFFF" w:val="clear"/>
            <w:tcMar>
              <w:top w:type="dxa" w:w="110"/>
              <w:left w:type="dxa" w:w="140"/>
              <w:bottom w:type="dxa" w:w="110"/>
              <w:right w:type="dxa" w:w="140"/>
            </w:tcMar>
          </w:tcPr>
          <w:p>
            <w:r>
              <w:rPr>
                <w:rFonts w:ascii="Calibri" w:cs="Calibri" w:eastAsia="Calibri" w:hAnsi="Calibri"/>
                <w:color w:val="12241C"/>
                <w:sz w:val="19"/>
                <w:szCs w:val="19"/>
              </w:rPr>
              <w:t xml:space="preserve">Adopt manifesto, constitution, annual priorities and national leadership.</w:t>
            </w:r>
          </w:p>
        </w:tc>
        <w:tc>
          <w:tcPr>
            <w:tcW w:type="dxa" w:w="2550"/>
            <w:shd w:fill="FFFFFF" w:val="clear"/>
            <w:tcMar>
              <w:top w:type="dxa" w:w="110"/>
              <w:left w:type="dxa" w:w="140"/>
              <w:bottom w:type="dxa" w:w="110"/>
              <w:right w:type="dxa" w:w="140"/>
            </w:tcMar>
          </w:tcPr>
          <w:p>
            <w:r>
              <w:rPr>
                <w:rFonts w:ascii="Calibri" w:cs="Calibri" w:eastAsia="Calibri" w:hAnsi="Calibri"/>
                <w:color w:val="12241C"/>
                <w:sz w:val="19"/>
                <w:szCs w:val="19"/>
              </w:rPr>
              <w:t xml:space="preserve">Annual meeting and published resolutions.</w:t>
            </w:r>
          </w:p>
        </w:tc>
      </w:tr>
      <w:tr>
        <w:tc>
          <w:tcPr>
            <w:tcW w:type="dxa" w:w="2800"/>
            <w:shd w:fill="E7EFE9" w:val="clear"/>
            <w:tcMar>
              <w:top w:type="dxa" w:w="110"/>
              <w:left w:type="dxa" w:w="140"/>
              <w:bottom w:type="dxa" w:w="110"/>
              <w:right w:type="dxa" w:w="140"/>
            </w:tcMar>
          </w:tcPr>
          <w:p>
            <w:r>
              <w:rPr>
                <w:rFonts w:ascii="Calibri" w:cs="Calibri" w:eastAsia="Calibri" w:hAnsi="Calibri"/>
                <w:color w:val="12241C"/>
                <w:sz w:val="19"/>
                <w:szCs w:val="19"/>
              </w:rPr>
              <w:t xml:space="preserve">National Executive Council</w:t>
            </w:r>
          </w:p>
        </w:tc>
        <w:tc>
          <w:tcPr>
            <w:tcW w:type="dxa" w:w="4000"/>
            <w:shd w:fill="E7EFE9" w:val="clear"/>
            <w:tcMar>
              <w:top w:type="dxa" w:w="110"/>
              <w:left w:type="dxa" w:w="140"/>
              <w:bottom w:type="dxa" w:w="110"/>
              <w:right w:type="dxa" w:w="140"/>
            </w:tcMar>
          </w:tcPr>
          <w:p>
            <w:r>
              <w:rPr>
                <w:rFonts w:ascii="Calibri" w:cs="Calibri" w:eastAsia="Calibri" w:hAnsi="Calibri"/>
                <w:color w:val="12241C"/>
                <w:sz w:val="19"/>
                <w:szCs w:val="19"/>
              </w:rPr>
              <w:t xml:space="preserve">Execute approved strategy, budget and institutional engagement.</w:t>
            </w:r>
          </w:p>
        </w:tc>
        <w:tc>
          <w:tcPr>
            <w:tcW w:type="dxa" w:w="2550"/>
            <w:shd w:fill="E7EFE9" w:val="clear"/>
            <w:tcMar>
              <w:top w:type="dxa" w:w="110"/>
              <w:left w:type="dxa" w:w="140"/>
              <w:bottom w:type="dxa" w:w="110"/>
              <w:right w:type="dxa" w:w="140"/>
            </w:tcMar>
          </w:tcPr>
          <w:p>
            <w:r>
              <w:rPr>
                <w:rFonts w:ascii="Calibri" w:cs="Calibri" w:eastAsia="Calibri" w:hAnsi="Calibri"/>
                <w:color w:val="12241C"/>
                <w:sz w:val="19"/>
                <w:szCs w:val="19"/>
              </w:rPr>
              <w:t xml:space="preserve">Quarterly report; fixed two-year term.</w:t>
            </w:r>
          </w:p>
        </w:tc>
      </w:tr>
      <w:tr>
        <w:tc>
          <w:tcPr>
            <w:tcW w:type="dxa" w:w="2800"/>
            <w:shd w:fill="FFFFFF" w:val="clear"/>
            <w:tcMar>
              <w:top w:type="dxa" w:w="110"/>
              <w:left w:type="dxa" w:w="140"/>
              <w:bottom w:type="dxa" w:w="110"/>
              <w:right w:type="dxa" w:w="140"/>
            </w:tcMar>
          </w:tcPr>
          <w:p>
            <w:r>
              <w:rPr>
                <w:rFonts w:ascii="Calibri" w:cs="Calibri" w:eastAsia="Calibri" w:hAnsi="Calibri"/>
                <w:color w:val="12241C"/>
                <w:sz w:val="19"/>
                <w:szCs w:val="19"/>
              </w:rPr>
              <w:t xml:space="preserve">Policy &amp; Research Council</w:t>
            </w:r>
          </w:p>
        </w:tc>
        <w:tc>
          <w:tcPr>
            <w:tcW w:type="dxa" w:w="4000"/>
            <w:shd w:fill="FFFFFF" w:val="clear"/>
            <w:tcMar>
              <w:top w:type="dxa" w:w="110"/>
              <w:left w:type="dxa" w:w="140"/>
              <w:bottom w:type="dxa" w:w="110"/>
              <w:right w:type="dxa" w:w="140"/>
            </w:tcMar>
          </w:tcPr>
          <w:p>
            <w:r>
              <w:rPr>
                <w:rFonts w:ascii="Calibri" w:cs="Calibri" w:eastAsia="Calibri" w:hAnsi="Calibri"/>
                <w:color w:val="12241C"/>
                <w:sz w:val="19"/>
                <w:szCs w:val="19"/>
              </w:rPr>
              <w:t xml:space="preserve">Research, costing, legal review and policy drafting.</w:t>
            </w:r>
          </w:p>
        </w:tc>
        <w:tc>
          <w:tcPr>
            <w:tcW w:type="dxa" w:w="2550"/>
            <w:shd w:fill="FFFFFF" w:val="clear"/>
            <w:tcMar>
              <w:top w:type="dxa" w:w="110"/>
              <w:left w:type="dxa" w:w="140"/>
              <w:bottom w:type="dxa" w:w="110"/>
              <w:right w:type="dxa" w:w="140"/>
            </w:tcMar>
          </w:tcPr>
          <w:p>
            <w:r>
              <w:rPr>
                <w:rFonts w:ascii="Calibri" w:cs="Calibri" w:eastAsia="Calibri" w:hAnsi="Calibri"/>
                <w:color w:val="12241C"/>
                <w:sz w:val="19"/>
                <w:szCs w:val="19"/>
              </w:rPr>
              <w:t xml:space="preserve">Peer review and conflict disclosure.</w:t>
            </w:r>
          </w:p>
        </w:tc>
      </w:tr>
      <w:tr>
        <w:tc>
          <w:tcPr>
            <w:tcW w:type="dxa" w:w="2800"/>
            <w:shd w:fill="E7EFE9" w:val="clear"/>
            <w:tcMar>
              <w:top w:type="dxa" w:w="110"/>
              <w:left w:type="dxa" w:w="140"/>
              <w:bottom w:type="dxa" w:w="110"/>
              <w:right w:type="dxa" w:w="140"/>
            </w:tcMar>
          </w:tcPr>
          <w:p>
            <w:r>
              <w:rPr>
                <w:rFonts w:ascii="Calibri" w:cs="Calibri" w:eastAsia="Calibri" w:hAnsi="Calibri"/>
                <w:color w:val="12241C"/>
                <w:sz w:val="19"/>
                <w:szCs w:val="19"/>
              </w:rPr>
              <w:t xml:space="preserve">Independent Integrity Commission</w:t>
            </w:r>
          </w:p>
        </w:tc>
        <w:tc>
          <w:tcPr>
            <w:tcW w:type="dxa" w:w="4000"/>
            <w:shd w:fill="E7EFE9" w:val="clear"/>
            <w:tcMar>
              <w:top w:type="dxa" w:w="110"/>
              <w:left w:type="dxa" w:w="140"/>
              <w:bottom w:type="dxa" w:w="110"/>
              <w:right w:type="dxa" w:w="140"/>
            </w:tcMar>
          </w:tcPr>
          <w:p>
            <w:r>
              <w:rPr>
                <w:rFonts w:ascii="Calibri" w:cs="Calibri" w:eastAsia="Calibri" w:hAnsi="Calibri"/>
                <w:color w:val="12241C"/>
                <w:sz w:val="19"/>
                <w:szCs w:val="19"/>
              </w:rPr>
              <w:t xml:space="preserve">Complaints, ethics, financial misconduct and conflicts.</w:t>
            </w:r>
          </w:p>
        </w:tc>
        <w:tc>
          <w:tcPr>
            <w:tcW w:type="dxa" w:w="2550"/>
            <w:shd w:fill="E7EFE9" w:val="clear"/>
            <w:tcMar>
              <w:top w:type="dxa" w:w="110"/>
              <w:left w:type="dxa" w:w="140"/>
              <w:bottom w:type="dxa" w:w="110"/>
              <w:right w:type="dxa" w:w="140"/>
            </w:tcMar>
          </w:tcPr>
          <w:p>
            <w:r>
              <w:rPr>
                <w:rFonts w:ascii="Calibri" w:cs="Calibri" w:eastAsia="Calibri" w:hAnsi="Calibri"/>
                <w:color w:val="12241C"/>
                <w:sz w:val="19"/>
                <w:szCs w:val="19"/>
              </w:rPr>
              <w:t xml:space="preserve">Independent annual report; operational separation.</w:t>
            </w:r>
          </w:p>
        </w:tc>
      </w:tr>
      <w:tr>
        <w:tc>
          <w:tcPr>
            <w:tcW w:type="dxa" w:w="2800"/>
            <w:shd w:fill="FFFFFF" w:val="clear"/>
            <w:tcMar>
              <w:top w:type="dxa" w:w="110"/>
              <w:left w:type="dxa" w:w="140"/>
              <w:bottom w:type="dxa" w:w="110"/>
              <w:right w:type="dxa" w:w="140"/>
            </w:tcMar>
          </w:tcPr>
          <w:p>
            <w:r>
              <w:rPr>
                <w:rFonts w:ascii="Calibri" w:cs="Calibri" w:eastAsia="Calibri" w:hAnsi="Calibri"/>
                <w:color w:val="12241C"/>
                <w:sz w:val="19"/>
                <w:szCs w:val="19"/>
              </w:rPr>
              <w:t xml:space="preserve">National Secretariat</w:t>
            </w:r>
          </w:p>
        </w:tc>
        <w:tc>
          <w:tcPr>
            <w:tcW w:type="dxa" w:w="4000"/>
            <w:shd w:fill="FFFFFF" w:val="clear"/>
            <w:tcMar>
              <w:top w:type="dxa" w:w="110"/>
              <w:left w:type="dxa" w:w="140"/>
              <w:bottom w:type="dxa" w:w="110"/>
              <w:right w:type="dxa" w:w="140"/>
            </w:tcMar>
          </w:tcPr>
          <w:p>
            <w:r>
              <w:rPr>
                <w:rFonts w:ascii="Calibri" w:cs="Calibri" w:eastAsia="Calibri" w:hAnsi="Calibri"/>
                <w:color w:val="12241C"/>
                <w:sz w:val="19"/>
                <w:szCs w:val="19"/>
              </w:rPr>
              <w:t xml:space="preserve">Records, membership, meetings, training and implementation.</w:t>
            </w:r>
          </w:p>
        </w:tc>
        <w:tc>
          <w:tcPr>
            <w:tcW w:type="dxa" w:w="2550"/>
            <w:shd w:fill="FFFFFF" w:val="clear"/>
            <w:tcMar>
              <w:top w:type="dxa" w:w="110"/>
              <w:left w:type="dxa" w:w="140"/>
              <w:bottom w:type="dxa" w:w="110"/>
              <w:right w:type="dxa" w:w="140"/>
            </w:tcMar>
          </w:tcPr>
          <w:p>
            <w:r>
              <w:rPr>
                <w:rFonts w:ascii="Calibri" w:cs="Calibri" w:eastAsia="Calibri" w:hAnsi="Calibri"/>
                <w:color w:val="12241C"/>
                <w:sz w:val="19"/>
                <w:szCs w:val="19"/>
              </w:rPr>
              <w:t xml:space="preserve">Monthly operating report.</w:t>
            </w:r>
          </w:p>
        </w:tc>
      </w:tr>
      <w:tr>
        <w:tc>
          <w:tcPr>
            <w:tcW w:type="dxa" w:w="2800"/>
            <w:shd w:fill="E7EFE9" w:val="clear"/>
            <w:tcMar>
              <w:top w:type="dxa" w:w="110"/>
              <w:left w:type="dxa" w:w="140"/>
              <w:bottom w:type="dxa" w:w="110"/>
              <w:right w:type="dxa" w:w="140"/>
            </w:tcMar>
          </w:tcPr>
          <w:p>
            <w:r>
              <w:rPr>
                <w:rFonts w:ascii="Calibri" w:cs="Calibri" w:eastAsia="Calibri" w:hAnsi="Calibri"/>
                <w:color w:val="12241C"/>
                <w:sz w:val="19"/>
                <w:szCs w:val="19"/>
              </w:rPr>
              <w:t xml:space="preserve">Provincial &amp; District Chapters</w:t>
            </w:r>
          </w:p>
        </w:tc>
        <w:tc>
          <w:tcPr>
            <w:tcW w:type="dxa" w:w="4000"/>
            <w:shd w:fill="E7EFE9" w:val="clear"/>
            <w:tcMar>
              <w:top w:type="dxa" w:w="110"/>
              <w:left w:type="dxa" w:w="140"/>
              <w:bottom w:type="dxa" w:w="110"/>
              <w:right w:type="dxa" w:w="140"/>
            </w:tcMar>
          </w:tcPr>
          <w:p>
            <w:r>
              <w:rPr>
                <w:rFonts w:ascii="Calibri" w:cs="Calibri" w:eastAsia="Calibri" w:hAnsi="Calibri"/>
                <w:color w:val="12241C"/>
                <w:sz w:val="19"/>
                <w:szCs w:val="19"/>
              </w:rPr>
              <w:t xml:space="preserve">Local research, civic service, dialogue and reporting.</w:t>
            </w:r>
          </w:p>
        </w:tc>
        <w:tc>
          <w:tcPr>
            <w:tcW w:type="dxa" w:w="2550"/>
            <w:shd w:fill="E7EFE9" w:val="clear"/>
            <w:tcMar>
              <w:top w:type="dxa" w:w="110"/>
              <w:left w:type="dxa" w:w="140"/>
              <w:bottom w:type="dxa" w:w="110"/>
              <w:right w:type="dxa" w:w="140"/>
            </w:tcMar>
          </w:tcPr>
          <w:p>
            <w:r>
              <w:rPr>
                <w:rFonts w:ascii="Calibri" w:cs="Calibri" w:eastAsia="Calibri" w:hAnsi="Calibri"/>
                <w:color w:val="12241C"/>
                <w:sz w:val="19"/>
                <w:szCs w:val="19"/>
              </w:rPr>
              <w:t xml:space="preserve">Annual charter and quarterly dashboard.</w:t>
            </w:r>
          </w:p>
        </w:tc>
      </w:tr>
      <w:tr>
        <w:tc>
          <w:tcPr>
            <w:tcW w:type="dxa" w:w="2800"/>
            <w:shd w:fill="FFFFFF" w:val="clear"/>
            <w:tcMar>
              <w:top w:type="dxa" w:w="110"/>
              <w:left w:type="dxa" w:w="140"/>
              <w:bottom w:type="dxa" w:w="110"/>
              <w:right w:type="dxa" w:w="140"/>
            </w:tcMar>
          </w:tcPr>
          <w:p>
            <w:r>
              <w:rPr>
                <w:rFonts w:ascii="Calibri" w:cs="Calibri" w:eastAsia="Calibri" w:hAnsi="Calibri"/>
                <w:color w:val="12241C"/>
                <w:sz w:val="19"/>
                <w:szCs w:val="19"/>
              </w:rPr>
              <w:t xml:space="preserve">Treasurer &amp; Finance Committee</w:t>
            </w:r>
          </w:p>
        </w:tc>
        <w:tc>
          <w:tcPr>
            <w:tcW w:type="dxa" w:w="4000"/>
            <w:shd w:fill="FFFFFF" w:val="clear"/>
            <w:tcMar>
              <w:top w:type="dxa" w:w="110"/>
              <w:left w:type="dxa" w:w="140"/>
              <w:bottom w:type="dxa" w:w="110"/>
              <w:right w:type="dxa" w:w="140"/>
            </w:tcMar>
          </w:tcPr>
          <w:p>
            <w:r>
              <w:rPr>
                <w:rFonts w:ascii="Calibri" w:cs="Calibri" w:eastAsia="Calibri" w:hAnsi="Calibri"/>
                <w:color w:val="12241C"/>
                <w:sz w:val="19"/>
                <w:szCs w:val="19"/>
              </w:rPr>
              <w:t xml:space="preserve">Budget, receipts, payments, donations and accounts.</w:t>
            </w:r>
          </w:p>
        </w:tc>
        <w:tc>
          <w:tcPr>
            <w:tcW w:type="dxa" w:w="2550"/>
            <w:shd w:fill="FFFFFF" w:val="clear"/>
            <w:tcMar>
              <w:top w:type="dxa" w:w="110"/>
              <w:left w:type="dxa" w:w="140"/>
              <w:bottom w:type="dxa" w:w="110"/>
              <w:right w:type="dxa" w:w="140"/>
            </w:tcMar>
          </w:tcPr>
          <w:p>
            <w:r>
              <w:rPr>
                <w:rFonts w:ascii="Calibri" w:cs="Calibri" w:eastAsia="Calibri" w:hAnsi="Calibri"/>
                <w:color w:val="12241C"/>
                <w:sz w:val="19"/>
                <w:szCs w:val="19"/>
              </w:rPr>
              <w:t xml:space="preserve">Dual approval and annual independent audit.</w:t>
            </w:r>
          </w:p>
        </w:tc>
      </w:tr>
      <w:tr>
        <w:tc>
          <w:tcPr>
            <w:tcW w:type="dxa" w:w="2800"/>
            <w:shd w:fill="E7EFE9" w:val="clear"/>
            <w:tcMar>
              <w:top w:type="dxa" w:w="110"/>
              <w:left w:type="dxa" w:w="140"/>
              <w:bottom w:type="dxa" w:w="110"/>
              <w:right w:type="dxa" w:w="140"/>
            </w:tcMar>
          </w:tcPr>
          <w:p>
            <w:r>
              <w:rPr>
                <w:rFonts w:ascii="Calibri" w:cs="Calibri" w:eastAsia="Calibri" w:hAnsi="Calibri"/>
                <w:color w:val="12241C"/>
                <w:sz w:val="19"/>
                <w:szCs w:val="19"/>
              </w:rPr>
              <w:t xml:space="preserve">Data Protection Lead</w:t>
            </w:r>
          </w:p>
        </w:tc>
        <w:tc>
          <w:tcPr>
            <w:tcW w:type="dxa" w:w="4000"/>
            <w:shd w:fill="E7EFE9" w:val="clear"/>
            <w:tcMar>
              <w:top w:type="dxa" w:w="110"/>
              <w:left w:type="dxa" w:w="140"/>
              <w:bottom w:type="dxa" w:w="110"/>
              <w:right w:type="dxa" w:w="140"/>
            </w:tcMar>
          </w:tcPr>
          <w:p>
            <w:r>
              <w:rPr>
                <w:rFonts w:ascii="Calibri" w:cs="Calibri" w:eastAsia="Calibri" w:hAnsi="Calibri"/>
                <w:color w:val="12241C"/>
                <w:sz w:val="19"/>
                <w:szCs w:val="19"/>
              </w:rPr>
              <w:t xml:space="preserve">Consent, access control, retention and breach response.</w:t>
            </w:r>
          </w:p>
        </w:tc>
        <w:tc>
          <w:tcPr>
            <w:tcW w:type="dxa" w:w="2550"/>
            <w:shd w:fill="E7EFE9" w:val="clear"/>
            <w:tcMar>
              <w:top w:type="dxa" w:w="110"/>
              <w:left w:type="dxa" w:w="140"/>
              <w:bottom w:type="dxa" w:w="110"/>
              <w:right w:type="dxa" w:w="140"/>
            </w:tcMar>
          </w:tcPr>
          <w:p>
            <w:r>
              <w:rPr>
                <w:rFonts w:ascii="Calibri" w:cs="Calibri" w:eastAsia="Calibri" w:hAnsi="Calibri"/>
                <w:color w:val="12241C"/>
                <w:sz w:val="19"/>
                <w:szCs w:val="19"/>
              </w:rPr>
              <w:t xml:space="preserve">Annual privacy and access review.</w:t>
            </w:r>
          </w:p>
        </w:tc>
      </w:tr>
    </w:tbl>
    <w:p>
      <w:pPr>
        <w:pStyle w:val="Heading2"/>
        <w:pBdr>
          <w:bottom w:val="single" w:color="C9A227" w:sz="4"/>
        </w:pBdr>
        <w:spacing w:after="120" w:before="320"/>
      </w:pPr>
      <w:r>
        <w:rPr>
          <w:rFonts w:ascii="Georgia" w:cs="Georgia" w:eastAsia="Georgia" w:hAnsi="Georgia"/>
          <w:b/>
          <w:bCs/>
          <w:color w:val="0B3D26"/>
          <w:sz w:val="27"/>
          <w:szCs w:val="27"/>
        </w:rPr>
        <w:t xml:space="preserve">13. Decision Rights</w:t>
      </w:r>
    </w:p>
    <w:tbl>
      <w:tblPr>
        <w:tblW w:type="pct" w:w="100%"/>
        <w:tblBorders>
          <w:top w:val="single" w:color="CCCCCC" w:sz="2"/>
          <w:left w:val="single" w:color="CCCCCC" w:sz="2"/>
          <w:bottom w:val="single" w:color="CCCCCC" w:sz="2"/>
          <w:right w:val="single" w:color="CCCCCC" w:sz="2"/>
          <w:insideH w:val="single" w:color="E3DFD3" w:sz="2"/>
          <w:insideV w:val="single" w:color="E3DFD3" w:sz="2"/>
        </w:tblBorders>
      </w:tblPr>
      <w:tblGrid>
        <w:gridCol w:w="2500"/>
        <w:gridCol w:w="2400"/>
        <w:gridCol w:w="2400"/>
        <w:gridCol w:w="2050"/>
      </w:tblGrid>
      <w:tr>
        <w:trPr>
          <w:tblHeader/>
        </w:trPr>
        <w:tc>
          <w:tcPr>
            <w:tcW w:type="dxa" w:w="25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Decision</w:t>
            </w:r>
          </w:p>
        </w:tc>
        <w:tc>
          <w:tcPr>
            <w:tcW w:type="dxa" w:w="24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Prepared By</w:t>
            </w:r>
          </w:p>
        </w:tc>
        <w:tc>
          <w:tcPr>
            <w:tcW w:type="dxa" w:w="24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Approved By</w:t>
            </w:r>
          </w:p>
        </w:tc>
        <w:tc>
          <w:tcPr>
            <w:tcW w:type="dxa" w:w="205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Review</w:t>
            </w:r>
          </w:p>
        </w:tc>
      </w:tr>
      <w:tr>
        <w:tc>
          <w:tcPr>
            <w:tcW w:type="dxa" w:w="2500"/>
            <w:shd w:fill="FFFFFF" w:val="clear"/>
            <w:tcMar>
              <w:top w:type="dxa" w:w="110"/>
              <w:left w:type="dxa" w:w="140"/>
              <w:bottom w:type="dxa" w:w="110"/>
              <w:right w:type="dxa" w:w="140"/>
            </w:tcMar>
          </w:tcPr>
          <w:p>
            <w:r>
              <w:rPr>
                <w:rFonts w:ascii="Calibri" w:cs="Calibri" w:eastAsia="Calibri" w:hAnsi="Calibri"/>
                <w:color w:val="12241C"/>
                <w:sz w:val="19"/>
                <w:szCs w:val="19"/>
              </w:rPr>
              <w:t xml:space="preserve">Manifesto / constitution amendment</w:t>
            </w:r>
          </w:p>
        </w:tc>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Policy/Constitution Committee</w:t>
            </w:r>
          </w:p>
        </w:tc>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General Council, 2/3 vote</w:t>
            </w:r>
          </w:p>
        </w:tc>
        <w:tc>
          <w:tcPr>
            <w:tcW w:type="dxa" w:w="2050"/>
            <w:shd w:fill="FFFFFF" w:val="clear"/>
            <w:tcMar>
              <w:top w:type="dxa" w:w="110"/>
              <w:left w:type="dxa" w:w="140"/>
              <w:bottom w:type="dxa" w:w="110"/>
              <w:right w:type="dxa" w:w="140"/>
            </w:tcMar>
          </w:tcPr>
          <w:p>
            <w:r>
              <w:rPr>
                <w:rFonts w:ascii="Calibri" w:cs="Calibri" w:eastAsia="Calibri" w:hAnsi="Calibri"/>
                <w:color w:val="12241C"/>
                <w:sz w:val="19"/>
                <w:szCs w:val="19"/>
              </w:rPr>
              <w:t xml:space="preserve">Independent legal review</w:t>
            </w:r>
          </w:p>
        </w:tc>
      </w:tr>
      <w:tr>
        <w:tc>
          <w:tcPr>
            <w:tcW w:type="dxa" w:w="2500"/>
            <w:shd w:fill="E7EFE9" w:val="clear"/>
            <w:tcMar>
              <w:top w:type="dxa" w:w="110"/>
              <w:left w:type="dxa" w:w="140"/>
              <w:bottom w:type="dxa" w:w="110"/>
              <w:right w:type="dxa" w:w="140"/>
            </w:tcMar>
          </w:tcPr>
          <w:p>
            <w:r>
              <w:rPr>
                <w:rFonts w:ascii="Calibri" w:cs="Calibri" w:eastAsia="Calibri" w:hAnsi="Calibri"/>
                <w:color w:val="12241C"/>
                <w:sz w:val="19"/>
                <w:szCs w:val="19"/>
              </w:rPr>
              <w:t xml:space="preserve">Annual budget</w:t>
            </w:r>
          </w:p>
        </w:tc>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Treasurer &amp; Secretariat</w:t>
            </w:r>
          </w:p>
        </w:tc>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National Executive Council</w:t>
            </w:r>
          </w:p>
        </w:tc>
        <w:tc>
          <w:tcPr>
            <w:tcW w:type="dxa" w:w="2050"/>
            <w:shd w:fill="E7EFE9" w:val="clear"/>
            <w:tcMar>
              <w:top w:type="dxa" w:w="110"/>
              <w:left w:type="dxa" w:w="140"/>
              <w:bottom w:type="dxa" w:w="110"/>
              <w:right w:type="dxa" w:w="140"/>
            </w:tcMar>
          </w:tcPr>
          <w:p>
            <w:r>
              <w:rPr>
                <w:rFonts w:ascii="Calibri" w:cs="Calibri" w:eastAsia="Calibri" w:hAnsi="Calibri"/>
                <w:color w:val="12241C"/>
                <w:sz w:val="19"/>
                <w:szCs w:val="19"/>
              </w:rPr>
              <w:t xml:space="preserve">Integrity Commission &amp; auditor</w:t>
            </w:r>
          </w:p>
        </w:tc>
      </w:tr>
      <w:tr>
        <w:tc>
          <w:tcPr>
            <w:tcW w:type="dxa" w:w="2500"/>
            <w:shd w:fill="FFFFFF" w:val="clear"/>
            <w:tcMar>
              <w:top w:type="dxa" w:w="110"/>
              <w:left w:type="dxa" w:w="140"/>
              <w:bottom w:type="dxa" w:w="110"/>
              <w:right w:type="dxa" w:w="140"/>
            </w:tcMar>
          </w:tcPr>
          <w:p>
            <w:r>
              <w:rPr>
                <w:rFonts w:ascii="Calibri" w:cs="Calibri" w:eastAsia="Calibri" w:hAnsi="Calibri"/>
                <w:color w:val="12241C"/>
                <w:sz w:val="19"/>
                <w:szCs w:val="19"/>
              </w:rPr>
              <w:t xml:space="preserve">National policy paper</w:t>
            </w:r>
          </w:p>
        </w:tc>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Policy &amp; Research Council</w:t>
            </w:r>
          </w:p>
        </w:tc>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Authorised policy body</w:t>
            </w:r>
          </w:p>
        </w:tc>
        <w:tc>
          <w:tcPr>
            <w:tcW w:type="dxa" w:w="2050"/>
            <w:shd w:fill="FFFFFF" w:val="clear"/>
            <w:tcMar>
              <w:top w:type="dxa" w:w="110"/>
              <w:left w:type="dxa" w:w="140"/>
              <w:bottom w:type="dxa" w:w="110"/>
              <w:right w:type="dxa" w:w="140"/>
            </w:tcMar>
          </w:tcPr>
          <w:p>
            <w:r>
              <w:rPr>
                <w:rFonts w:ascii="Calibri" w:cs="Calibri" w:eastAsia="Calibri" w:hAnsi="Calibri"/>
                <w:color w:val="12241C"/>
                <w:sz w:val="19"/>
                <w:szCs w:val="19"/>
              </w:rPr>
              <w:t xml:space="preserve">Peer review &amp; source disclosure</w:t>
            </w:r>
          </w:p>
        </w:tc>
      </w:tr>
      <w:tr>
        <w:tc>
          <w:tcPr>
            <w:tcW w:type="dxa" w:w="2500"/>
            <w:shd w:fill="E7EFE9" w:val="clear"/>
            <w:tcMar>
              <w:top w:type="dxa" w:w="110"/>
              <w:left w:type="dxa" w:w="140"/>
              <w:bottom w:type="dxa" w:w="110"/>
              <w:right w:type="dxa" w:w="140"/>
            </w:tcMar>
          </w:tcPr>
          <w:p>
            <w:r>
              <w:rPr>
                <w:rFonts w:ascii="Calibri" w:cs="Calibri" w:eastAsia="Calibri" w:hAnsi="Calibri"/>
                <w:color w:val="12241C"/>
                <w:sz w:val="19"/>
                <w:szCs w:val="19"/>
              </w:rPr>
              <w:t xml:space="preserve">Local programme</w:t>
            </w:r>
          </w:p>
        </w:tc>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District Chapter</w:t>
            </w:r>
          </w:p>
        </w:tc>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Chapter Council</w:t>
            </w:r>
          </w:p>
        </w:tc>
        <w:tc>
          <w:tcPr>
            <w:tcW w:type="dxa" w:w="2050"/>
            <w:shd w:fill="E7EFE9" w:val="clear"/>
            <w:tcMar>
              <w:top w:type="dxa" w:w="110"/>
              <w:left w:type="dxa" w:w="140"/>
              <w:bottom w:type="dxa" w:w="110"/>
              <w:right w:type="dxa" w:w="140"/>
            </w:tcMar>
          </w:tcPr>
          <w:p>
            <w:r>
              <w:rPr>
                <w:rFonts w:ascii="Calibri" w:cs="Calibri" w:eastAsia="Calibri" w:hAnsi="Calibri"/>
                <w:color w:val="12241C"/>
                <w:sz w:val="19"/>
                <w:szCs w:val="19"/>
              </w:rPr>
              <w:t xml:space="preserve">Provincial Secretariat</w:t>
            </w:r>
          </w:p>
        </w:tc>
      </w:tr>
      <w:tr>
        <w:tc>
          <w:tcPr>
            <w:tcW w:type="dxa" w:w="2500"/>
            <w:shd w:fill="FFFFFF" w:val="clear"/>
            <w:tcMar>
              <w:top w:type="dxa" w:w="110"/>
              <w:left w:type="dxa" w:w="140"/>
              <w:bottom w:type="dxa" w:w="110"/>
              <w:right w:type="dxa" w:w="140"/>
            </w:tcMar>
          </w:tcPr>
          <w:p>
            <w:r>
              <w:rPr>
                <w:rFonts w:ascii="Calibri" w:cs="Calibri" w:eastAsia="Calibri" w:hAnsi="Calibri"/>
                <w:color w:val="12241C"/>
                <w:sz w:val="19"/>
                <w:szCs w:val="19"/>
              </w:rPr>
              <w:t xml:space="preserve">Serious disciplinary case</w:t>
            </w:r>
          </w:p>
        </w:tc>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Independent investigation panel</w:t>
            </w:r>
          </w:p>
        </w:tc>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Integrity Commission</w:t>
            </w:r>
          </w:p>
        </w:tc>
        <w:tc>
          <w:tcPr>
            <w:tcW w:type="dxa" w:w="2050"/>
            <w:shd w:fill="FFFFFF" w:val="clear"/>
            <w:tcMar>
              <w:top w:type="dxa" w:w="110"/>
              <w:left w:type="dxa" w:w="140"/>
              <w:bottom w:type="dxa" w:w="110"/>
              <w:right w:type="dxa" w:w="140"/>
            </w:tcMar>
          </w:tcPr>
          <w:p>
            <w:r>
              <w:rPr>
                <w:rFonts w:ascii="Calibri" w:cs="Calibri" w:eastAsia="Calibri" w:hAnsi="Calibri"/>
                <w:color w:val="12241C"/>
                <w:sz w:val="19"/>
                <w:szCs w:val="19"/>
              </w:rPr>
              <w:t xml:space="preserve">Separate appeal panel</w:t>
            </w:r>
          </w:p>
        </w:tc>
      </w:tr>
      <w:tr>
        <w:tc>
          <w:tcPr>
            <w:tcW w:type="dxa" w:w="2500"/>
            <w:shd w:fill="E7EFE9" w:val="clear"/>
            <w:tcMar>
              <w:top w:type="dxa" w:w="110"/>
              <w:left w:type="dxa" w:w="140"/>
              <w:bottom w:type="dxa" w:w="110"/>
              <w:right w:type="dxa" w:w="140"/>
            </w:tcMar>
          </w:tcPr>
          <w:p>
            <w:r>
              <w:rPr>
                <w:rFonts w:ascii="Calibri" w:cs="Calibri" w:eastAsia="Calibri" w:hAnsi="Calibri"/>
                <w:color w:val="12241C"/>
                <w:sz w:val="19"/>
                <w:szCs w:val="19"/>
              </w:rPr>
              <w:t xml:space="preserve">Public fundraising campaign</w:t>
            </w:r>
          </w:p>
        </w:tc>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Finance Committee</w:t>
            </w:r>
          </w:p>
        </w:tc>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Executive Council</w:t>
            </w:r>
          </w:p>
        </w:tc>
        <w:tc>
          <w:tcPr>
            <w:tcW w:type="dxa" w:w="2050"/>
            <w:shd w:fill="E7EFE9" w:val="clear"/>
            <w:tcMar>
              <w:top w:type="dxa" w:w="110"/>
              <w:left w:type="dxa" w:w="140"/>
              <w:bottom w:type="dxa" w:w="110"/>
              <w:right w:type="dxa" w:w="140"/>
            </w:tcMar>
          </w:tcPr>
          <w:p>
            <w:r>
              <w:rPr>
                <w:rFonts w:ascii="Calibri" w:cs="Calibri" w:eastAsia="Calibri" w:hAnsi="Calibri"/>
                <w:color w:val="12241C"/>
                <w:sz w:val="19"/>
                <w:szCs w:val="19"/>
              </w:rPr>
              <w:t xml:space="preserve">Audit &amp; donor disclosure</w:t>
            </w:r>
          </w:p>
        </w:tc>
      </w:tr>
    </w:tbl>
    <w:p>
      <w:pPr>
        <w:pStyle w:val="Heading2"/>
        <w:pBdr>
          <w:bottom w:val="single" w:color="C9A227" w:sz="4"/>
        </w:pBdr>
        <w:spacing w:after="120" w:before="320"/>
      </w:pPr>
      <w:r>
        <w:rPr>
          <w:rFonts w:ascii="Georgia" w:cs="Georgia" w:eastAsia="Georgia" w:hAnsi="Georgia"/>
          <w:b/>
          <w:bCs/>
          <w:color w:val="0B3D26"/>
          <w:sz w:val="27"/>
          <w:szCs w:val="27"/>
        </w:rPr>
        <w:t xml:space="preserve">14. Membership</w:t>
      </w:r>
    </w:p>
    <w:p>
      <w:pPr>
        <w:spacing w:after="160"/>
        <w:jc w:val="left"/>
      </w:pPr>
      <w:r>
        <w:rPr>
          <w:rFonts w:ascii="Calibri" w:cs="Calibri" w:eastAsia="Calibri" w:hAnsi="Calibri"/>
          <w:b w:val="false"/>
          <w:bCs w:val="false"/>
          <w:i w:val="false"/>
          <w:iCs w:val="false"/>
          <w:color w:val="12241C"/>
          <w:sz w:val="21"/>
          <w:szCs w:val="21"/>
        </w:rPr>
        <w:t xml:space="preserve">Membership should be open, subject to Pakistani law, to every person who accepts PCP's constitutional, peaceful, non-discriminatory and transparent principles. PCP will encourage young leadership without excluding older citizens, professions, genders, regions or social classes.</w:t>
      </w:r>
    </w:p>
    <w:p>
      <w:pPr>
        <w:pStyle w:val="Heading3"/>
        <w:spacing w:after="90" w:before="220"/>
      </w:pPr>
      <w:r>
        <w:rPr>
          <w:rFonts w:ascii="Georgia" w:cs="Georgia" w:eastAsia="Georgia" w:hAnsi="Georgia"/>
          <w:b/>
          <w:bCs/>
          <w:color w:val="0B3D26"/>
          <w:sz w:val="22"/>
          <w:szCs w:val="22"/>
        </w:rPr>
        <w:t xml:space="preserve">Member rights</w:t>
      </w:r>
    </w:p>
    <w:p>
      <w:pPr>
        <w:pStyle w:val="ListParagraph"/>
        <w:numPr>
          <w:ilvl w:val="0"/>
          <w:numId w:val="2"/>
        </w:numPr>
        <w:spacing w:after="90"/>
      </w:pPr>
      <w:r>
        <w:rPr>
          <w:rFonts w:ascii="Calibri" w:cs="Calibri" w:eastAsia="Calibri" w:hAnsi="Calibri"/>
          <w:b w:val="false"/>
          <w:bCs w:val="false"/>
          <w:color w:val="12241C"/>
          <w:sz w:val="21"/>
          <w:szCs w:val="21"/>
        </w:rPr>
        <w:t xml:space="preserve">Access to the constitution, manifesto, approved financial summaries and major decisions.</w:t>
      </w:r>
    </w:p>
    <w:p>
      <w:pPr>
        <w:pStyle w:val="ListParagraph"/>
        <w:numPr>
          <w:ilvl w:val="0"/>
          <w:numId w:val="2"/>
        </w:numPr>
        <w:spacing w:after="90"/>
      </w:pPr>
      <w:r>
        <w:rPr>
          <w:rFonts w:ascii="Calibri" w:cs="Calibri" w:eastAsia="Calibri" w:hAnsi="Calibri"/>
          <w:b w:val="false"/>
          <w:bCs w:val="false"/>
          <w:color w:val="12241C"/>
          <w:sz w:val="21"/>
          <w:szCs w:val="21"/>
        </w:rPr>
        <w:t xml:space="preserve">A safe right to question, disagree, propose and complain.</w:t>
      </w:r>
    </w:p>
    <w:p>
      <w:pPr>
        <w:pStyle w:val="ListParagraph"/>
        <w:numPr>
          <w:ilvl w:val="0"/>
          <w:numId w:val="2"/>
        </w:numPr>
        <w:spacing w:after="90"/>
      </w:pPr>
      <w:r>
        <w:rPr>
          <w:rFonts w:ascii="Calibri" w:cs="Calibri" w:eastAsia="Calibri" w:hAnsi="Calibri"/>
          <w:b w:val="false"/>
          <w:bCs w:val="false"/>
          <w:color w:val="12241C"/>
          <w:sz w:val="21"/>
          <w:szCs w:val="21"/>
        </w:rPr>
        <w:t xml:space="preserve">Fair access to training, service and leadership opportunities based on competence.</w:t>
      </w:r>
    </w:p>
    <w:p>
      <w:pPr>
        <w:pStyle w:val="ListParagraph"/>
        <w:numPr>
          <w:ilvl w:val="0"/>
          <w:numId w:val="2"/>
        </w:numPr>
        <w:spacing w:after="90"/>
      </w:pPr>
      <w:r>
        <w:rPr>
          <w:rFonts w:ascii="Calibri" w:cs="Calibri" w:eastAsia="Calibri" w:hAnsi="Calibri"/>
          <w:b w:val="false"/>
          <w:bCs w:val="false"/>
          <w:color w:val="12241C"/>
          <w:sz w:val="21"/>
          <w:szCs w:val="21"/>
        </w:rPr>
        <w:t xml:space="preserve">Privacy of personal data and the right to withdraw communication consent.</w:t>
      </w:r>
    </w:p>
    <w:p>
      <w:pPr>
        <w:pStyle w:val="ListParagraph"/>
        <w:numPr>
          <w:ilvl w:val="0"/>
          <w:numId w:val="2"/>
        </w:numPr>
        <w:spacing w:after="90"/>
      </w:pPr>
      <w:r>
        <w:rPr>
          <w:rFonts w:ascii="Calibri" w:cs="Calibri" w:eastAsia="Calibri" w:hAnsi="Calibri"/>
          <w:b w:val="false"/>
          <w:bCs w:val="false"/>
          <w:color w:val="12241C"/>
          <w:sz w:val="21"/>
          <w:szCs w:val="21"/>
        </w:rPr>
        <w:t xml:space="preserve">Impartial discipline and a separate right of appeal.</w:t>
      </w:r>
    </w:p>
    <w:p>
      <w:pPr>
        <w:pStyle w:val="Heading3"/>
        <w:spacing w:after="90" w:before="220"/>
      </w:pPr>
      <w:r>
        <w:rPr>
          <w:rFonts w:ascii="Georgia" w:cs="Georgia" w:eastAsia="Georgia" w:hAnsi="Georgia"/>
          <w:b/>
          <w:bCs/>
          <w:color w:val="0B3D26"/>
          <w:sz w:val="22"/>
          <w:szCs w:val="22"/>
        </w:rPr>
        <w:t xml:space="preserve">Member responsibilities</w:t>
      </w:r>
    </w:p>
    <w:p>
      <w:pPr>
        <w:pStyle w:val="ListParagraph"/>
        <w:numPr>
          <w:ilvl w:val="0"/>
          <w:numId w:val="2"/>
        </w:numPr>
        <w:spacing w:after="90"/>
      </w:pPr>
      <w:r>
        <w:rPr>
          <w:rFonts w:ascii="Calibri" w:cs="Calibri" w:eastAsia="Calibri" w:hAnsi="Calibri"/>
          <w:b w:val="false"/>
          <w:bCs w:val="false"/>
          <w:color w:val="12241C"/>
          <w:sz w:val="21"/>
          <w:szCs w:val="21"/>
        </w:rPr>
        <w:t xml:space="preserve">Obey the Constitution, law, nonviolence, truthfulness and human respect.</w:t>
      </w:r>
    </w:p>
    <w:p>
      <w:pPr>
        <w:pStyle w:val="ListParagraph"/>
        <w:numPr>
          <w:ilvl w:val="0"/>
          <w:numId w:val="2"/>
        </w:numPr>
        <w:spacing w:after="90"/>
      </w:pPr>
      <w:r>
        <w:rPr>
          <w:rFonts w:ascii="Calibri" w:cs="Calibri" w:eastAsia="Calibri" w:hAnsi="Calibri"/>
          <w:b w:val="false"/>
          <w:bCs w:val="false"/>
          <w:color w:val="12241C"/>
          <w:sz w:val="21"/>
          <w:szCs w:val="21"/>
        </w:rPr>
        <w:t xml:space="preserve">Reject disinformation, hate, harassment, secret funds and personal misuse of PCP.</w:t>
      </w:r>
    </w:p>
    <w:p>
      <w:pPr>
        <w:pStyle w:val="ListParagraph"/>
        <w:numPr>
          <w:ilvl w:val="0"/>
          <w:numId w:val="2"/>
        </w:numPr>
        <w:spacing w:after="90"/>
      </w:pPr>
      <w:r>
        <w:rPr>
          <w:rFonts w:ascii="Calibri" w:cs="Calibri" w:eastAsia="Calibri" w:hAnsi="Calibri"/>
          <w:b w:val="false"/>
          <w:bCs w:val="false"/>
          <w:color w:val="12241C"/>
          <w:sz w:val="21"/>
          <w:szCs w:val="21"/>
        </w:rPr>
        <w:t xml:space="preserve">Declare conflicts and protect movement resources.</w:t>
      </w:r>
    </w:p>
    <w:p>
      <w:pPr>
        <w:pStyle w:val="ListParagraph"/>
        <w:numPr>
          <w:ilvl w:val="0"/>
          <w:numId w:val="2"/>
        </w:numPr>
        <w:spacing w:after="90"/>
      </w:pPr>
      <w:r>
        <w:rPr>
          <w:rFonts w:ascii="Calibri" w:cs="Calibri" w:eastAsia="Calibri" w:hAnsi="Calibri"/>
          <w:b w:val="false"/>
          <w:bCs w:val="false"/>
          <w:color w:val="12241C"/>
          <w:sz w:val="21"/>
          <w:szCs w:val="21"/>
        </w:rPr>
        <w:t xml:space="preserve">Perform accepted responsibilities reliably and on time.</w:t>
      </w:r>
    </w:p>
    <w:p>
      <w:pPr>
        <w:pStyle w:val="ListParagraph"/>
        <w:numPr>
          <w:ilvl w:val="0"/>
          <w:numId w:val="2"/>
        </w:numPr>
        <w:spacing w:after="90"/>
      </w:pPr>
      <w:r>
        <w:rPr>
          <w:rFonts w:ascii="Calibri" w:cs="Calibri" w:eastAsia="Calibri" w:hAnsi="Calibri"/>
          <w:b w:val="false"/>
          <w:bCs w:val="false"/>
          <w:color w:val="12241C"/>
          <w:sz w:val="21"/>
          <w:szCs w:val="21"/>
        </w:rPr>
        <w:t xml:space="preserve">Correct mistakes and cooperate with fair accountability.</w:t>
      </w:r>
    </w:p>
    <w:p>
      <w:pPr>
        <w:pStyle w:val="Heading2"/>
        <w:pBdr>
          <w:bottom w:val="single" w:color="C9A227" w:sz="4"/>
        </w:pBdr>
        <w:spacing w:after="120" w:before="320"/>
      </w:pPr>
      <w:r>
        <w:rPr>
          <w:rFonts w:ascii="Georgia" w:cs="Georgia" w:eastAsia="Georgia" w:hAnsi="Georgia"/>
          <w:b/>
          <w:bCs/>
          <w:color w:val="0B3D26"/>
          <w:sz w:val="27"/>
          <w:szCs w:val="27"/>
        </w:rPr>
        <w:t xml:space="preserve">15. Local Chapter Standard</w:t>
      </w:r>
    </w:p>
    <w:p>
      <w:pPr>
        <w:spacing w:after="160"/>
        <w:jc w:val="left"/>
      </w:pPr>
      <w:r>
        <w:rPr>
          <w:rFonts w:ascii="Calibri" w:cs="Calibri" w:eastAsia="Calibri" w:hAnsi="Calibri"/>
          <w:b w:val="false"/>
          <w:bCs w:val="false"/>
          <w:i w:val="false"/>
          <w:iCs w:val="false"/>
          <w:color w:val="12241C"/>
          <w:sz w:val="21"/>
          <w:szCs w:val="21"/>
        </w:rPr>
        <w:t xml:space="preserve">No group may use the PCP name as an official chapter without a written charter, verified members, time-limited officers, a treasurer, minutes, a finance register, a complaint contact and a quarterly civic-service report.</w:t>
      </w:r>
    </w:p>
    <w:p>
      <w:pPr>
        <w:tabs>
          <w:tab w:val="left" w:pos="360"/>
        </w:tabs>
        <w:spacing w:after="110"/>
        <w:ind w:left="360" w:hanging="360"/>
      </w:pPr>
      <w:r>
        <w:rPr>
          <w:rFonts w:ascii="Consolas" w:cs="Consolas" w:eastAsia="Consolas" w:hAnsi="Consolas"/>
          <w:b/>
          <w:bCs/>
          <w:color w:val="B8892E"/>
          <w:sz w:val="19"/>
          <w:szCs w:val="19"/>
        </w:rPr>
        <w:t xml:space="preserve">16.	</w:t>
      </w:r>
      <w:r>
        <w:rPr>
          <w:rFonts w:ascii="Calibri" w:cs="Calibri" w:eastAsia="Calibri" w:hAnsi="Calibri"/>
          <w:color w:val="12241C"/>
          <w:sz w:val="20"/>
          <w:szCs w:val="20"/>
        </w:rPr>
        <w:t xml:space="preserve">Submit a chapter application, verified founding list and conflict declarations.</w:t>
      </w:r>
    </w:p>
    <w:p>
      <w:pPr>
        <w:tabs>
          <w:tab w:val="left" w:pos="360"/>
        </w:tabs>
        <w:spacing w:after="110"/>
        <w:ind w:left="360" w:hanging="360"/>
      </w:pPr>
      <w:r>
        <w:rPr>
          <w:rFonts w:ascii="Consolas" w:cs="Consolas" w:eastAsia="Consolas" w:hAnsi="Consolas"/>
          <w:b/>
          <w:bCs/>
          <w:color w:val="B8892E"/>
          <w:sz w:val="19"/>
          <w:szCs w:val="19"/>
        </w:rPr>
        <w:t xml:space="preserve">17.	</w:t>
      </w:r>
      <w:r>
        <w:rPr>
          <w:rFonts w:ascii="Calibri" w:cs="Calibri" w:eastAsia="Calibri" w:hAnsi="Calibri"/>
          <w:color w:val="12241C"/>
          <w:sz w:val="20"/>
          <w:szCs w:val="20"/>
        </w:rPr>
        <w:t xml:space="preserve">Complete a 90-day provisional period, core training and one civic-service project.</w:t>
      </w:r>
    </w:p>
    <w:p>
      <w:pPr>
        <w:tabs>
          <w:tab w:val="left" w:pos="360"/>
        </w:tabs>
        <w:spacing w:after="110"/>
        <w:ind w:left="360" w:hanging="360"/>
      </w:pPr>
      <w:r>
        <w:rPr>
          <w:rFonts w:ascii="Consolas" w:cs="Consolas" w:eastAsia="Consolas" w:hAnsi="Consolas"/>
          <w:b/>
          <w:bCs/>
          <w:color w:val="B8892E"/>
          <w:sz w:val="19"/>
          <w:szCs w:val="19"/>
        </w:rPr>
        <w:t xml:space="preserve">18.	</w:t>
      </w:r>
      <w:r>
        <w:rPr>
          <w:rFonts w:ascii="Calibri" w:cs="Calibri" w:eastAsia="Calibri" w:hAnsi="Calibri"/>
          <w:color w:val="12241C"/>
          <w:sz w:val="20"/>
          <w:szCs w:val="20"/>
        </w:rPr>
        <w:t xml:space="preserve">Receive an annual charter after financial, data and ethics checks.</w:t>
      </w:r>
    </w:p>
    <w:p>
      <w:pPr>
        <w:tabs>
          <w:tab w:val="left" w:pos="360"/>
        </w:tabs>
        <w:spacing w:after="110"/>
        <w:ind w:left="360" w:hanging="360"/>
      </w:pPr>
      <w:r>
        <w:rPr>
          <w:rFonts w:ascii="Consolas" w:cs="Consolas" w:eastAsia="Consolas" w:hAnsi="Consolas"/>
          <w:b/>
          <w:bCs/>
          <w:color w:val="B8892E"/>
          <w:sz w:val="19"/>
          <w:szCs w:val="19"/>
        </w:rPr>
        <w:t xml:space="preserve">19.	</w:t>
      </w:r>
      <w:r>
        <w:rPr>
          <w:rFonts w:ascii="Calibri" w:cs="Calibri" w:eastAsia="Calibri" w:hAnsi="Calibri"/>
          <w:color w:val="12241C"/>
          <w:sz w:val="20"/>
          <w:szCs w:val="20"/>
        </w:rPr>
        <w:t xml:space="preserve">Submit quarterly reports covering activity, finance, membership and local evidence.</w:t>
      </w:r>
    </w:p>
    <w:p>
      <w:pPr>
        <w:tabs>
          <w:tab w:val="left" w:pos="360"/>
        </w:tabs>
        <w:spacing w:after="110"/>
        <w:ind w:left="360" w:hanging="360"/>
      </w:pPr>
      <w:r>
        <w:rPr>
          <w:rFonts w:ascii="Consolas" w:cs="Consolas" w:eastAsia="Consolas" w:hAnsi="Consolas"/>
          <w:b/>
          <w:bCs/>
          <w:color w:val="B8892E"/>
          <w:sz w:val="19"/>
          <w:szCs w:val="19"/>
        </w:rPr>
        <w:t xml:space="preserve">20.	</w:t>
      </w:r>
      <w:r>
        <w:rPr>
          <w:rFonts w:ascii="Calibri" w:cs="Calibri" w:eastAsia="Calibri" w:hAnsi="Calibri"/>
          <w:color w:val="12241C"/>
          <w:sz w:val="20"/>
          <w:szCs w:val="20"/>
        </w:rPr>
        <w:t xml:space="preserve">Accept corrective action, suspension or fair charter withdrawal for serious breach.</w:t>
      </w:r>
    </w:p>
    <w:p>
      <w:pPr>
        <w:pStyle w:val="Heading2"/>
        <w:pBdr>
          <w:bottom w:val="single" w:color="C9A227" w:sz="4"/>
        </w:pBdr>
        <w:spacing w:after="120" w:before="320"/>
      </w:pPr>
      <w:r>
        <w:rPr>
          <w:rFonts w:ascii="Georgia" w:cs="Georgia" w:eastAsia="Georgia" w:hAnsi="Georgia"/>
          <w:b/>
          <w:bCs/>
          <w:color w:val="0B3D26"/>
          <w:sz w:val="27"/>
          <w:szCs w:val="27"/>
        </w:rPr>
        <w:t xml:space="preserve">16. Meetings and Records</w:t>
      </w:r>
    </w:p>
    <w:tbl>
      <w:tblPr>
        <w:tblW w:type="pct" w:w="100%"/>
        <w:tblBorders>
          <w:top w:val="single" w:color="CCCCCC" w:sz="2"/>
          <w:left w:val="single" w:color="CCCCCC" w:sz="2"/>
          <w:bottom w:val="single" w:color="CCCCCC" w:sz="2"/>
          <w:right w:val="single" w:color="CCCCCC" w:sz="2"/>
          <w:insideH w:val="single" w:color="E3DFD3" w:sz="2"/>
          <w:insideV w:val="single" w:color="E3DFD3" w:sz="2"/>
        </w:tblBorders>
      </w:tblPr>
      <w:tblGrid>
        <w:gridCol w:w="2600"/>
        <w:gridCol w:w="2400"/>
        <w:gridCol w:w="4350"/>
      </w:tblGrid>
      <w:tr>
        <w:trPr>
          <w:tblHeader/>
        </w:trPr>
        <w:tc>
          <w:tcPr>
            <w:tcW w:type="dxa" w:w="26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Meeting</w:t>
            </w:r>
          </w:p>
        </w:tc>
        <w:tc>
          <w:tcPr>
            <w:tcW w:type="dxa" w:w="24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Frequency</w:t>
            </w:r>
          </w:p>
        </w:tc>
        <w:tc>
          <w:tcPr>
            <w:tcW w:type="dxa" w:w="435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Minimum Output</w:t>
            </w:r>
          </w:p>
        </w:tc>
      </w:tr>
      <w:tr>
        <w:tc>
          <w:tcPr>
            <w:tcW w:type="dxa" w:w="2600"/>
            <w:shd w:fill="FFFFFF" w:val="clear"/>
            <w:tcMar>
              <w:top w:type="dxa" w:w="110"/>
              <w:left w:type="dxa" w:w="140"/>
              <w:bottom w:type="dxa" w:w="110"/>
              <w:right w:type="dxa" w:w="140"/>
            </w:tcMar>
          </w:tcPr>
          <w:p>
            <w:r>
              <w:rPr>
                <w:rFonts w:ascii="Calibri" w:cs="Calibri" w:eastAsia="Calibri" w:hAnsi="Calibri"/>
                <w:color w:val="12241C"/>
                <w:sz w:val="19"/>
                <w:szCs w:val="19"/>
              </w:rPr>
              <w:t xml:space="preserve">National General Council</w:t>
            </w:r>
          </w:p>
        </w:tc>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Annual</w:t>
            </w:r>
          </w:p>
        </w:tc>
        <w:tc>
          <w:tcPr>
            <w:tcW w:type="dxa" w:w="4350"/>
            <w:shd w:fill="FFFFFF" w:val="clear"/>
            <w:tcMar>
              <w:top w:type="dxa" w:w="110"/>
              <w:left w:type="dxa" w:w="140"/>
              <w:bottom w:type="dxa" w:w="110"/>
              <w:right w:type="dxa" w:w="140"/>
            </w:tcMar>
          </w:tcPr>
          <w:p>
            <w:r>
              <w:rPr>
                <w:rFonts w:ascii="Calibri" w:cs="Calibri" w:eastAsia="Calibri" w:hAnsi="Calibri"/>
                <w:color w:val="12241C"/>
                <w:sz w:val="19"/>
                <w:szCs w:val="19"/>
              </w:rPr>
              <w:t xml:space="preserve">Annual report, priorities, leadership and constitutional decisions</w:t>
            </w:r>
          </w:p>
        </w:tc>
      </w:tr>
      <w:tr>
        <w:tc>
          <w:tcPr>
            <w:tcW w:type="dxa" w:w="2600"/>
            <w:shd w:fill="E7EFE9" w:val="clear"/>
            <w:tcMar>
              <w:top w:type="dxa" w:w="110"/>
              <w:left w:type="dxa" w:w="140"/>
              <w:bottom w:type="dxa" w:w="110"/>
              <w:right w:type="dxa" w:w="140"/>
            </w:tcMar>
          </w:tcPr>
          <w:p>
            <w:r>
              <w:rPr>
                <w:rFonts w:ascii="Calibri" w:cs="Calibri" w:eastAsia="Calibri" w:hAnsi="Calibri"/>
                <w:color w:val="12241C"/>
                <w:sz w:val="19"/>
                <w:szCs w:val="19"/>
              </w:rPr>
              <w:t xml:space="preserve">National Executive Council</w:t>
            </w:r>
          </w:p>
        </w:tc>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Monthly</w:t>
            </w:r>
          </w:p>
        </w:tc>
        <w:tc>
          <w:tcPr>
            <w:tcW w:type="dxa" w:w="4350"/>
            <w:shd w:fill="E7EFE9" w:val="clear"/>
            <w:tcMar>
              <w:top w:type="dxa" w:w="110"/>
              <w:left w:type="dxa" w:w="140"/>
              <w:bottom w:type="dxa" w:w="110"/>
              <w:right w:type="dxa" w:w="140"/>
            </w:tcMar>
          </w:tcPr>
          <w:p>
            <w:r>
              <w:rPr>
                <w:rFonts w:ascii="Calibri" w:cs="Calibri" w:eastAsia="Calibri" w:hAnsi="Calibri"/>
                <w:color w:val="12241C"/>
                <w:sz w:val="19"/>
                <w:szCs w:val="19"/>
              </w:rPr>
              <w:t xml:space="preserve">Dashboard, budget, risk and action log</w:t>
            </w:r>
          </w:p>
        </w:tc>
      </w:tr>
      <w:tr>
        <w:tc>
          <w:tcPr>
            <w:tcW w:type="dxa" w:w="2600"/>
            <w:shd w:fill="FFFFFF" w:val="clear"/>
            <w:tcMar>
              <w:top w:type="dxa" w:w="110"/>
              <w:left w:type="dxa" w:w="140"/>
              <w:bottom w:type="dxa" w:w="110"/>
              <w:right w:type="dxa" w:w="140"/>
            </w:tcMar>
          </w:tcPr>
          <w:p>
            <w:r>
              <w:rPr>
                <w:rFonts w:ascii="Calibri" w:cs="Calibri" w:eastAsia="Calibri" w:hAnsi="Calibri"/>
                <w:color w:val="12241C"/>
                <w:sz w:val="19"/>
                <w:szCs w:val="19"/>
              </w:rPr>
              <w:t xml:space="preserve">Policy &amp; Research Council</w:t>
            </w:r>
          </w:p>
        </w:tc>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Fortnightly / as required</w:t>
            </w:r>
          </w:p>
        </w:tc>
        <w:tc>
          <w:tcPr>
            <w:tcW w:type="dxa" w:w="4350"/>
            <w:shd w:fill="FFFFFF" w:val="clear"/>
            <w:tcMar>
              <w:top w:type="dxa" w:w="110"/>
              <w:left w:type="dxa" w:w="140"/>
              <w:bottom w:type="dxa" w:w="110"/>
              <w:right w:type="dxa" w:w="140"/>
            </w:tcMar>
          </w:tcPr>
          <w:p>
            <w:r>
              <w:rPr>
                <w:rFonts w:ascii="Calibri" w:cs="Calibri" w:eastAsia="Calibri" w:hAnsi="Calibri"/>
                <w:color w:val="12241C"/>
                <w:sz w:val="19"/>
                <w:szCs w:val="19"/>
              </w:rPr>
              <w:t xml:space="preserve">Research note, conflicts, peer review and decision</w:t>
            </w:r>
          </w:p>
        </w:tc>
      </w:tr>
      <w:tr>
        <w:tc>
          <w:tcPr>
            <w:tcW w:type="dxa" w:w="2600"/>
            <w:shd w:fill="E7EFE9" w:val="clear"/>
            <w:tcMar>
              <w:top w:type="dxa" w:w="110"/>
              <w:left w:type="dxa" w:w="140"/>
              <w:bottom w:type="dxa" w:w="110"/>
              <w:right w:type="dxa" w:w="140"/>
            </w:tcMar>
          </w:tcPr>
          <w:p>
            <w:r>
              <w:rPr>
                <w:rFonts w:ascii="Calibri" w:cs="Calibri" w:eastAsia="Calibri" w:hAnsi="Calibri"/>
                <w:color w:val="12241C"/>
                <w:sz w:val="19"/>
                <w:szCs w:val="19"/>
              </w:rPr>
              <w:t xml:space="preserve">Provincial/District Chapter</w:t>
            </w:r>
          </w:p>
        </w:tc>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Monthly</w:t>
            </w:r>
          </w:p>
        </w:tc>
        <w:tc>
          <w:tcPr>
            <w:tcW w:type="dxa" w:w="4350"/>
            <w:shd w:fill="E7EFE9" w:val="clear"/>
            <w:tcMar>
              <w:top w:type="dxa" w:w="110"/>
              <w:left w:type="dxa" w:w="140"/>
              <w:bottom w:type="dxa" w:w="110"/>
              <w:right w:type="dxa" w:w="140"/>
            </w:tcMar>
          </w:tcPr>
          <w:p>
            <w:r>
              <w:rPr>
                <w:rFonts w:ascii="Calibri" w:cs="Calibri" w:eastAsia="Calibri" w:hAnsi="Calibri"/>
                <w:color w:val="12241C"/>
                <w:sz w:val="19"/>
                <w:szCs w:val="19"/>
              </w:rPr>
              <w:t xml:space="preserve">Local issue, service, finance summary and next actions</w:t>
            </w:r>
          </w:p>
        </w:tc>
      </w:tr>
      <w:tr>
        <w:tc>
          <w:tcPr>
            <w:tcW w:type="dxa" w:w="2600"/>
            <w:shd w:fill="FFFFFF" w:val="clear"/>
            <w:tcMar>
              <w:top w:type="dxa" w:w="110"/>
              <w:left w:type="dxa" w:w="140"/>
              <w:bottom w:type="dxa" w:w="110"/>
              <w:right w:type="dxa" w:w="140"/>
            </w:tcMar>
          </w:tcPr>
          <w:p>
            <w:r>
              <w:rPr>
                <w:rFonts w:ascii="Calibri" w:cs="Calibri" w:eastAsia="Calibri" w:hAnsi="Calibri"/>
                <w:color w:val="12241C"/>
                <w:sz w:val="19"/>
                <w:szCs w:val="19"/>
              </w:rPr>
              <w:t xml:space="preserve">Integrity Commission</w:t>
            </w:r>
          </w:p>
        </w:tc>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Quarterly / as required</w:t>
            </w:r>
          </w:p>
        </w:tc>
        <w:tc>
          <w:tcPr>
            <w:tcW w:type="dxa" w:w="4350"/>
            <w:shd w:fill="FFFFFF" w:val="clear"/>
            <w:tcMar>
              <w:top w:type="dxa" w:w="110"/>
              <w:left w:type="dxa" w:w="140"/>
              <w:bottom w:type="dxa" w:w="110"/>
              <w:right w:type="dxa" w:w="140"/>
            </w:tcMar>
          </w:tcPr>
          <w:p>
            <w:r>
              <w:rPr>
                <w:rFonts w:ascii="Calibri" w:cs="Calibri" w:eastAsia="Calibri" w:hAnsi="Calibri"/>
                <w:color w:val="12241C"/>
                <w:sz w:val="19"/>
                <w:szCs w:val="19"/>
              </w:rPr>
              <w:t xml:space="preserve">Complaint data, timelines, decisions and system recommendations</w:t>
            </w:r>
          </w:p>
        </w:tc>
      </w:tr>
    </w:tbl>
    <w:p>
      <w:r>
        <w:br w:type="page"/>
      </w:r>
    </w:p>
    <w:tbl>
      <w:tblPr>
        <w:tblW w:type="pct" w:w="100%"/>
        <w:tblBorders>
          <w:top w:val="none"/>
          <w:left w:val="none"/>
          <w:bottom w:val="none"/>
          <w:right w:val="none"/>
          <w:insideH w:val="none"/>
          <w:insideV w:val="none"/>
        </w:tblBorders>
      </w:tblPr>
      <w:tblGrid>
        <w:gridCol w:w="100"/>
      </w:tblGrid>
      <w:tr>
        <w:tc>
          <w:tcPr>
            <w:shd w:fill="0B3D26" w:val="clear"/>
            <w:tcMar>
              <w:top w:type="dxa" w:w="260"/>
              <w:left w:type="dxa" w:w="260"/>
              <w:bottom w:type="dxa" w:w="260"/>
              <w:right w:type="dxa" w:w="260"/>
            </w:tcMar>
          </w:tcPr>
          <w:p>
            <w:pPr>
              <w:spacing w:after="60"/>
            </w:pPr>
            <w:r>
              <w:rPr>
                <w:rFonts w:ascii="Consolas" w:cs="Consolas" w:eastAsia="Consolas" w:hAnsi="Consolas"/>
                <w:b/>
                <w:bCs/>
                <w:color w:val="C9A227"/>
                <w:spacing w:val="20"/>
                <w:sz w:val="18"/>
                <w:szCs w:val="18"/>
              </w:rPr>
              <w:t xml:space="preserve">PART IV</w:t>
            </w:r>
          </w:p>
          <w:p>
            <w:pPr>
              <w:pStyle w:val="Heading1"/>
              <w:spacing w:after="100"/>
            </w:pPr>
            <w:r>
              <w:rPr>
                <w:rFonts w:ascii="Georgia" w:cs="Georgia" w:eastAsia="Georgia" w:hAnsi="Georgia"/>
                <w:b/>
                <w:bCs/>
                <w:color w:val="FFFFFF"/>
                <w:sz w:val="40"/>
                <w:szCs w:val="40"/>
              </w:rPr>
              <w:t xml:space="preserve">Ethics and Safe Participation</w:t>
            </w:r>
          </w:p>
          <w:p>
            <w:r>
              <w:rPr>
                <w:rFonts w:ascii="Calibri" w:cs="Calibri" w:eastAsia="Calibri" w:hAnsi="Calibri"/>
                <w:color w:val="F6F1E4"/>
                <w:sz w:val="21"/>
                <w:szCs w:val="21"/>
              </w:rPr>
              <w:t xml:space="preserve">PCP's credibility will be measured by the integrity of its information, money, conduct and internal decisions.</w:t>
            </w:r>
          </w:p>
        </w:tc>
      </w:tr>
    </w:tbl>
    <w:p>
      <w:pPr>
        <w:spacing w:after="200"/>
      </w:pPr>
    </w:p>
    <w:p>
      <w:pPr>
        <w:pStyle w:val="Heading2"/>
        <w:pBdr>
          <w:bottom w:val="single" w:color="C9A227" w:sz="4"/>
        </w:pBdr>
        <w:spacing w:after="120" w:before="320"/>
      </w:pPr>
      <w:r>
        <w:rPr>
          <w:rFonts w:ascii="Georgia" w:cs="Georgia" w:eastAsia="Georgia" w:hAnsi="Georgia"/>
          <w:b/>
          <w:bCs/>
          <w:color w:val="0B3D26"/>
          <w:sz w:val="27"/>
          <w:szCs w:val="27"/>
        </w:rPr>
        <w:t xml:space="preserve">17. Code of Conduct</w:t>
      </w:r>
    </w:p>
    <w:p>
      <w:pPr>
        <w:pStyle w:val="Heading3"/>
        <w:spacing w:after="90" w:before="220"/>
      </w:pPr>
      <w:r>
        <w:rPr>
          <w:rFonts w:ascii="Georgia" w:cs="Georgia" w:eastAsia="Georgia" w:hAnsi="Georgia"/>
          <w:b/>
          <w:bCs/>
          <w:color w:val="0B3D26"/>
          <w:sz w:val="22"/>
          <w:szCs w:val="22"/>
        </w:rPr>
        <w:t xml:space="preserve">Required conduct</w:t>
      </w:r>
    </w:p>
    <w:p>
      <w:pPr>
        <w:pStyle w:val="ListParagraph"/>
        <w:numPr>
          <w:ilvl w:val="0"/>
          <w:numId w:val="2"/>
        </w:numPr>
        <w:spacing w:after="90"/>
      </w:pPr>
      <w:r>
        <w:rPr>
          <w:rFonts w:ascii="Calibri" w:cs="Calibri" w:eastAsia="Calibri" w:hAnsi="Calibri"/>
          <w:b w:val="false"/>
          <w:bCs w:val="false"/>
          <w:color w:val="12241C"/>
          <w:sz w:val="21"/>
          <w:szCs w:val="21"/>
        </w:rPr>
        <w:t xml:space="preserve">Criticise decisions and systems with evidence; do not humiliate people.</w:t>
      </w:r>
    </w:p>
    <w:p>
      <w:pPr>
        <w:pStyle w:val="ListParagraph"/>
        <w:numPr>
          <w:ilvl w:val="0"/>
          <w:numId w:val="2"/>
        </w:numPr>
        <w:spacing w:after="90"/>
      </w:pPr>
      <w:r>
        <w:rPr>
          <w:rFonts w:ascii="Calibri" w:cs="Calibri" w:eastAsia="Calibri" w:hAnsi="Calibri"/>
          <w:b w:val="false"/>
          <w:bCs w:val="false"/>
          <w:color w:val="12241C"/>
          <w:sz w:val="21"/>
          <w:szCs w:val="21"/>
        </w:rPr>
        <w:t xml:space="preserve">Respect religious, sectarian, ethnic, linguistic, gender and regional identities.</w:t>
      </w:r>
    </w:p>
    <w:p>
      <w:pPr>
        <w:pStyle w:val="ListParagraph"/>
        <w:numPr>
          <w:ilvl w:val="0"/>
          <w:numId w:val="2"/>
        </w:numPr>
        <w:spacing w:after="90"/>
      </w:pPr>
      <w:r>
        <w:rPr>
          <w:rFonts w:ascii="Calibri" w:cs="Calibri" w:eastAsia="Calibri" w:hAnsi="Calibri"/>
          <w:b w:val="false"/>
          <w:bCs w:val="false"/>
          <w:color w:val="12241C"/>
          <w:sz w:val="21"/>
          <w:szCs w:val="21"/>
        </w:rPr>
        <w:t xml:space="preserve">Protect minors, vulnerable people and complainants through safeguarding rules.</w:t>
      </w:r>
    </w:p>
    <w:p>
      <w:pPr>
        <w:pStyle w:val="ListParagraph"/>
        <w:numPr>
          <w:ilvl w:val="0"/>
          <w:numId w:val="2"/>
        </w:numPr>
        <w:spacing w:after="90"/>
      </w:pPr>
      <w:r>
        <w:rPr>
          <w:rFonts w:ascii="Calibri" w:cs="Calibri" w:eastAsia="Calibri" w:hAnsi="Calibri"/>
          <w:b w:val="false"/>
          <w:bCs w:val="false"/>
          <w:color w:val="12241C"/>
          <w:sz w:val="21"/>
          <w:szCs w:val="21"/>
        </w:rPr>
        <w:t xml:space="preserve">Declare mistakes, benefits and conflicts promptly.</w:t>
      </w:r>
    </w:p>
    <w:p>
      <w:pPr>
        <w:pStyle w:val="ListParagraph"/>
        <w:numPr>
          <w:ilvl w:val="0"/>
          <w:numId w:val="2"/>
        </w:numPr>
        <w:spacing w:after="90"/>
      </w:pPr>
      <w:r>
        <w:rPr>
          <w:rFonts w:ascii="Calibri" w:cs="Calibri" w:eastAsia="Calibri" w:hAnsi="Calibri"/>
          <w:b w:val="false"/>
          <w:bCs w:val="false"/>
          <w:color w:val="12241C"/>
          <w:sz w:val="21"/>
          <w:szCs w:val="21"/>
        </w:rPr>
        <w:t xml:space="preserve">Treat public property, officials, police and other participants peacefully.</w:t>
      </w:r>
    </w:p>
    <w:p>
      <w:pPr>
        <w:pStyle w:val="Heading3"/>
        <w:spacing w:after="90" w:before="220"/>
      </w:pPr>
      <w:r>
        <w:rPr>
          <w:rFonts w:ascii="Georgia" w:cs="Georgia" w:eastAsia="Georgia" w:hAnsi="Georgia"/>
          <w:b/>
          <w:bCs/>
          <w:color w:val="0B3D26"/>
          <w:sz w:val="22"/>
          <w:szCs w:val="22"/>
        </w:rPr>
        <w:t xml:space="preserve">Strictly prohibited</w:t>
      </w:r>
    </w:p>
    <w:p>
      <w:pPr>
        <w:pStyle w:val="ListParagraph"/>
        <w:numPr>
          <w:ilvl w:val="0"/>
          <w:numId w:val="2"/>
        </w:numPr>
        <w:spacing w:after="90"/>
      </w:pPr>
      <w:r>
        <w:rPr>
          <w:rFonts w:ascii="Calibri" w:cs="Calibri" w:eastAsia="Calibri" w:hAnsi="Calibri"/>
          <w:b w:val="false"/>
          <w:bCs w:val="false"/>
          <w:color w:val="8A2E21"/>
          <w:sz w:val="21"/>
          <w:szCs w:val="21"/>
        </w:rPr>
        <w:t xml:space="preserve">Violence, weapons, threats, vandalism, coercion or encouragement of harm.</w:t>
      </w:r>
    </w:p>
    <w:p>
      <w:pPr>
        <w:pStyle w:val="ListParagraph"/>
        <w:numPr>
          <w:ilvl w:val="0"/>
          <w:numId w:val="2"/>
        </w:numPr>
        <w:spacing w:after="90"/>
      </w:pPr>
      <w:r>
        <w:rPr>
          <w:rFonts w:ascii="Calibri" w:cs="Calibri" w:eastAsia="Calibri" w:hAnsi="Calibri"/>
          <w:b w:val="false"/>
          <w:bCs w:val="false"/>
          <w:color w:val="8A2E21"/>
          <w:sz w:val="21"/>
          <w:szCs w:val="21"/>
        </w:rPr>
        <w:t xml:space="preserve">Fake news, deepfakes, false quotations, misleading edits or unverified allegations.</w:t>
      </w:r>
    </w:p>
    <w:p>
      <w:pPr>
        <w:pStyle w:val="ListParagraph"/>
        <w:numPr>
          <w:ilvl w:val="0"/>
          <w:numId w:val="2"/>
        </w:numPr>
        <w:spacing w:after="90"/>
      </w:pPr>
      <w:r>
        <w:rPr>
          <w:rFonts w:ascii="Calibri" w:cs="Calibri" w:eastAsia="Calibri" w:hAnsi="Calibri"/>
          <w:b w:val="false"/>
          <w:bCs w:val="false"/>
          <w:color w:val="8A2E21"/>
          <w:sz w:val="21"/>
          <w:szCs w:val="21"/>
        </w:rPr>
        <w:t xml:space="preserve">Abuse, doxxing, stalking, harassment or targeting a person's family.</w:t>
      </w:r>
    </w:p>
    <w:p>
      <w:pPr>
        <w:pStyle w:val="ListParagraph"/>
        <w:numPr>
          <w:ilvl w:val="0"/>
          <w:numId w:val="2"/>
        </w:numPr>
        <w:spacing w:after="90"/>
      </w:pPr>
      <w:r>
        <w:rPr>
          <w:rFonts w:ascii="Calibri" w:cs="Calibri" w:eastAsia="Calibri" w:hAnsi="Calibri"/>
          <w:b w:val="false"/>
          <w:bCs w:val="false"/>
          <w:color w:val="8A2E21"/>
          <w:sz w:val="21"/>
          <w:szCs w:val="21"/>
        </w:rPr>
        <w:t xml:space="preserve">Religious, sectarian, ethnic, linguistic or gender hatred.</w:t>
      </w:r>
    </w:p>
    <w:p>
      <w:pPr>
        <w:pStyle w:val="ListParagraph"/>
        <w:numPr>
          <w:ilvl w:val="0"/>
          <w:numId w:val="2"/>
        </w:numPr>
        <w:spacing w:after="90"/>
      </w:pPr>
      <w:r>
        <w:rPr>
          <w:rFonts w:ascii="Calibri" w:cs="Calibri" w:eastAsia="Calibri" w:hAnsi="Calibri"/>
          <w:b w:val="false"/>
          <w:bCs w:val="false"/>
          <w:color w:val="8A2E21"/>
          <w:sz w:val="21"/>
          <w:szCs w:val="21"/>
        </w:rPr>
        <w:t xml:space="preserve">Covert political profiling or use of unlawfully obtained personal data.</w:t>
      </w:r>
    </w:p>
    <w:p>
      <w:pPr>
        <w:pStyle w:val="ListParagraph"/>
        <w:numPr>
          <w:ilvl w:val="0"/>
          <w:numId w:val="2"/>
        </w:numPr>
        <w:spacing w:after="90"/>
      </w:pPr>
      <w:r>
        <w:rPr>
          <w:rFonts w:ascii="Calibri" w:cs="Calibri" w:eastAsia="Calibri" w:hAnsi="Calibri"/>
          <w:b w:val="false"/>
          <w:bCs w:val="false"/>
          <w:color w:val="8A2E21"/>
          <w:sz w:val="21"/>
          <w:szCs w:val="21"/>
        </w:rPr>
        <w:t xml:space="preserve">Secret donations, unrecorded cash, benefits in exchange for policy or office.</w:t>
      </w:r>
    </w:p>
    <w:p>
      <w:pPr>
        <w:pStyle w:val="Heading2"/>
        <w:pBdr>
          <w:bottom w:val="single" w:color="C9A227" w:sz="4"/>
        </w:pBdr>
        <w:spacing w:after="120" w:before="320"/>
      </w:pPr>
      <w:r>
        <w:rPr>
          <w:rFonts w:ascii="Georgia" w:cs="Georgia" w:eastAsia="Georgia" w:hAnsi="Georgia"/>
          <w:b/>
          <w:bCs/>
          <w:color w:val="0B3D26"/>
          <w:sz w:val="27"/>
          <w:szCs w:val="27"/>
        </w:rPr>
        <w:t xml:space="preserve">18. Communication and Information Integrity</w:t>
      </w:r>
    </w:p>
    <w:p>
      <w:pPr>
        <w:spacing w:after="160"/>
        <w:jc w:val="left"/>
      </w:pPr>
      <w:r>
        <w:rPr>
          <w:rFonts w:ascii="Calibri" w:cs="Calibri" w:eastAsia="Calibri" w:hAnsi="Calibri"/>
          <w:b w:val="false"/>
          <w:bCs w:val="false"/>
          <w:i w:val="false"/>
          <w:iCs w:val="false"/>
          <w:color w:val="12241C"/>
          <w:sz w:val="21"/>
          <w:szCs w:val="21"/>
        </w:rPr>
        <w:t xml:space="preserve">PCP communication must be based on verifiable information, clear policy and measurable public interest. Messaging may be adapted for language and accessibility, but PCP will not exploit private information, fear or vulnerability through covert targeting.</w:t>
      </w:r>
    </w:p>
    <w:p>
      <w:pPr>
        <w:pStyle w:val="Heading3"/>
        <w:spacing w:after="90" w:before="220"/>
      </w:pPr>
      <w:r>
        <w:rPr>
          <w:rFonts w:ascii="Georgia" w:cs="Georgia" w:eastAsia="Georgia" w:hAnsi="Georgia"/>
          <w:b/>
          <w:bCs/>
          <w:color w:val="0B3D26"/>
          <w:sz w:val="22"/>
          <w:szCs w:val="22"/>
        </w:rPr>
        <w:t xml:space="preserve">Five questions before publication</w:t>
      </w:r>
    </w:p>
    <w:p>
      <w:pPr>
        <w:tabs>
          <w:tab w:val="left" w:pos="360"/>
        </w:tabs>
        <w:spacing w:after="110"/>
        <w:ind w:left="360" w:hanging="360"/>
      </w:pPr>
      <w:r>
        <w:rPr>
          <w:rFonts w:ascii="Consolas" w:cs="Consolas" w:eastAsia="Consolas" w:hAnsi="Consolas"/>
          <w:b/>
          <w:bCs/>
          <w:color w:val="B8892E"/>
          <w:sz w:val="19"/>
          <w:szCs w:val="19"/>
        </w:rPr>
        <w:t xml:space="preserve">21.	</w:t>
      </w:r>
      <w:r>
        <w:rPr>
          <w:rFonts w:ascii="Calibri" w:cs="Calibri" w:eastAsia="Calibri" w:hAnsi="Calibri"/>
          <w:color w:val="12241C"/>
          <w:sz w:val="20"/>
          <w:szCs w:val="20"/>
        </w:rPr>
        <w:t xml:space="preserve">Does the claim have an original or credible source?</w:t>
      </w:r>
    </w:p>
    <w:p>
      <w:pPr>
        <w:tabs>
          <w:tab w:val="left" w:pos="360"/>
        </w:tabs>
        <w:spacing w:after="110"/>
        <w:ind w:left="360" w:hanging="360"/>
      </w:pPr>
      <w:r>
        <w:rPr>
          <w:rFonts w:ascii="Consolas" w:cs="Consolas" w:eastAsia="Consolas" w:hAnsi="Consolas"/>
          <w:b/>
          <w:bCs/>
          <w:color w:val="B8892E"/>
          <w:sz w:val="19"/>
          <w:szCs w:val="19"/>
        </w:rPr>
        <w:t xml:space="preserve">22.	</w:t>
      </w:r>
      <w:r>
        <w:rPr>
          <w:rFonts w:ascii="Calibri" w:cs="Calibri" w:eastAsia="Calibri" w:hAnsi="Calibri"/>
          <w:color w:val="12241C"/>
          <w:sz w:val="20"/>
          <w:szCs w:val="20"/>
        </w:rPr>
        <w:t xml:space="preserve">Do the headline, image and caption represent the source honestly?</w:t>
      </w:r>
    </w:p>
    <w:p>
      <w:pPr>
        <w:tabs>
          <w:tab w:val="left" w:pos="360"/>
        </w:tabs>
        <w:spacing w:after="110"/>
        <w:ind w:left="360" w:hanging="360"/>
      </w:pPr>
      <w:r>
        <w:rPr>
          <w:rFonts w:ascii="Consolas" w:cs="Consolas" w:eastAsia="Consolas" w:hAnsi="Consolas"/>
          <w:b/>
          <w:bCs/>
          <w:color w:val="B8892E"/>
          <w:sz w:val="19"/>
          <w:szCs w:val="19"/>
        </w:rPr>
        <w:t xml:space="preserve">23.	</w:t>
      </w:r>
      <w:r>
        <w:rPr>
          <w:rFonts w:ascii="Calibri" w:cs="Calibri" w:eastAsia="Calibri" w:hAnsi="Calibri"/>
          <w:color w:val="12241C"/>
          <w:sz w:val="20"/>
          <w:szCs w:val="20"/>
        </w:rPr>
        <w:t xml:space="preserve">If a person is accused, has legal review and a fair opportunity to respond been considered?</w:t>
      </w:r>
    </w:p>
    <w:p>
      <w:pPr>
        <w:tabs>
          <w:tab w:val="left" w:pos="360"/>
        </w:tabs>
        <w:spacing w:after="110"/>
        <w:ind w:left="360" w:hanging="360"/>
      </w:pPr>
      <w:r>
        <w:rPr>
          <w:rFonts w:ascii="Consolas" w:cs="Consolas" w:eastAsia="Consolas" w:hAnsi="Consolas"/>
          <w:b/>
          <w:bCs/>
          <w:color w:val="B8892E"/>
          <w:sz w:val="19"/>
          <w:szCs w:val="19"/>
        </w:rPr>
        <w:t xml:space="preserve">24.	</w:t>
      </w:r>
      <w:r>
        <w:rPr>
          <w:rFonts w:ascii="Calibri" w:cs="Calibri" w:eastAsia="Calibri" w:hAnsi="Calibri"/>
          <w:color w:val="12241C"/>
          <w:sz w:val="20"/>
          <w:szCs w:val="20"/>
        </w:rPr>
        <w:t xml:space="preserve">Does the language protect human dignity, religious respect and nonviolence?</w:t>
      </w:r>
    </w:p>
    <w:p>
      <w:pPr>
        <w:tabs>
          <w:tab w:val="left" w:pos="360"/>
        </w:tabs>
        <w:spacing w:after="110"/>
        <w:ind w:left="360" w:hanging="360"/>
      </w:pPr>
      <w:r>
        <w:rPr>
          <w:rFonts w:ascii="Consolas" w:cs="Consolas" w:eastAsia="Consolas" w:hAnsi="Consolas"/>
          <w:b/>
          <w:bCs/>
          <w:color w:val="B8892E"/>
          <w:sz w:val="19"/>
          <w:szCs w:val="19"/>
        </w:rPr>
        <w:t xml:space="preserve">25.	</w:t>
      </w:r>
      <w:r>
        <w:rPr>
          <w:rFonts w:ascii="Calibri" w:cs="Calibri" w:eastAsia="Calibri" w:hAnsi="Calibri"/>
          <w:color w:val="12241C"/>
          <w:sz w:val="20"/>
          <w:szCs w:val="20"/>
        </w:rPr>
        <w:t xml:space="preserve">Who will correct the content, where and how quickly if it proves wrong?</w:t>
      </w:r>
    </w:p>
    <w:tbl>
      <w:tblPr>
        <w:tblW w:type="pct" w:w="100%"/>
        <w:tblBorders>
          <w:top w:val="none"/>
          <w:left w:val="none"/>
          <w:bottom w:val="none"/>
          <w:right w:val="none"/>
          <w:insideH w:val="none"/>
          <w:insideV w:val="none"/>
        </w:tblBorders>
      </w:tblPr>
      <w:tblGrid>
        <w:gridCol w:w="100"/>
      </w:tblGrid>
      <w:tr>
        <w:tc>
          <w:tcPr>
            <w:shd w:fill="E7EFE9" w:val="clear"/>
            <w:tcMar>
              <w:top w:type="dxa" w:w="200"/>
              <w:left w:type="dxa" w:w="240"/>
              <w:bottom w:type="dxa" w:w="200"/>
              <w:right w:type="dxa" w:w="240"/>
            </w:tcMar>
          </w:tcPr>
          <w:p>
            <w:r>
              <w:rPr>
                <w:rFonts w:ascii="Consolas" w:cs="Consolas" w:eastAsia="Consolas" w:hAnsi="Consolas"/>
                <w:b/>
                <w:bCs/>
                <w:color w:val="0B3D26"/>
                <w:sz w:val="18"/>
                <w:szCs w:val="18"/>
              </w:rPr>
              <w:t xml:space="preserve">CORRECTION RULE — </w:t>
            </w:r>
            <w:r>
              <w:rPr>
                <w:rFonts w:ascii="Calibri" w:cs="Calibri" w:eastAsia="Calibri" w:hAnsi="Calibri"/>
                <w:color w:val="12241C"/>
                <w:sz w:val="20"/>
                <w:szCs w:val="20"/>
              </w:rPr>
              <w:t xml:space="preserve">A material error must be corrected prominently on the same platform, identifying the date, the inaccurate claim and the verified correction.</w:t>
            </w:r>
          </w:p>
        </w:tc>
      </w:tr>
    </w:tbl>
    <w:p>
      <w:pPr>
        <w:pStyle w:val="Heading2"/>
        <w:pBdr>
          <w:bottom w:val="single" w:color="C9A227" w:sz="4"/>
        </w:pBdr>
        <w:spacing w:after="120" w:before="320"/>
      </w:pPr>
      <w:r>
        <w:rPr>
          <w:rFonts w:ascii="Georgia" w:cs="Georgia" w:eastAsia="Georgia" w:hAnsi="Georgia"/>
          <w:b/>
          <w:bCs/>
          <w:color w:val="0B3D26"/>
          <w:sz w:val="27"/>
          <w:szCs w:val="27"/>
        </w:rPr>
        <w:t xml:space="preserve">19. Social Media Standard</w:t>
      </w:r>
    </w:p>
    <w:p>
      <w:pPr>
        <w:pStyle w:val="ListParagraph"/>
        <w:numPr>
          <w:ilvl w:val="0"/>
          <w:numId w:val="2"/>
        </w:numPr>
        <w:spacing w:after="90"/>
      </w:pPr>
      <w:r>
        <w:rPr>
          <w:rFonts w:ascii="Calibri" w:cs="Calibri" w:eastAsia="Calibri" w:hAnsi="Calibri"/>
          <w:b w:val="false"/>
          <w:bCs w:val="false"/>
          <w:color w:val="12241C"/>
          <w:sz w:val="21"/>
          <w:szCs w:val="21"/>
        </w:rPr>
        <w:t xml:space="preserve">Use the approved PCP logo, deep green, antique gold and warm white palette consistently.</w:t>
      </w:r>
    </w:p>
    <w:p>
      <w:pPr>
        <w:pStyle w:val="ListParagraph"/>
        <w:numPr>
          <w:ilvl w:val="0"/>
          <w:numId w:val="2"/>
        </w:numPr>
        <w:spacing w:after="90"/>
      </w:pPr>
      <w:r>
        <w:rPr>
          <w:rFonts w:ascii="Calibri" w:cs="Calibri" w:eastAsia="Calibri" w:hAnsi="Calibri"/>
          <w:b w:val="false"/>
          <w:bCs w:val="false"/>
          <w:color w:val="12241C"/>
          <w:sz w:val="21"/>
          <w:szCs w:val="21"/>
        </w:rPr>
        <w:t xml:space="preserve">Keep designs human-made, uncluttered and readable on a mobile screen.</w:t>
      </w:r>
    </w:p>
    <w:p>
      <w:pPr>
        <w:pStyle w:val="ListParagraph"/>
        <w:numPr>
          <w:ilvl w:val="0"/>
          <w:numId w:val="2"/>
        </w:numPr>
        <w:spacing w:after="90"/>
      </w:pPr>
      <w:r>
        <w:rPr>
          <w:rFonts w:ascii="Calibri" w:cs="Calibri" w:eastAsia="Calibri" w:hAnsi="Calibri"/>
          <w:b w:val="false"/>
          <w:bCs w:val="false"/>
          <w:color w:val="12241C"/>
          <w:sz w:val="21"/>
          <w:szCs w:val="21"/>
        </w:rPr>
        <w:t xml:space="preserve">Separate verified news, PCP opinion, satire and campaign material with clear labels.</w:t>
      </w:r>
    </w:p>
    <w:p>
      <w:pPr>
        <w:pStyle w:val="ListParagraph"/>
        <w:numPr>
          <w:ilvl w:val="0"/>
          <w:numId w:val="2"/>
        </w:numPr>
        <w:spacing w:after="90"/>
      </w:pPr>
      <w:r>
        <w:rPr>
          <w:rFonts w:ascii="Calibri" w:cs="Calibri" w:eastAsia="Calibri" w:hAnsi="Calibri"/>
          <w:b w:val="false"/>
          <w:bCs w:val="false"/>
          <w:color w:val="12241C"/>
          <w:sz w:val="21"/>
          <w:szCs w:val="21"/>
        </w:rPr>
        <w:t xml:space="preserve">Never publish graphic harm, private addresses, identity documents or personal phone numbers.</w:t>
      </w:r>
    </w:p>
    <w:p>
      <w:pPr>
        <w:pStyle w:val="ListParagraph"/>
        <w:numPr>
          <w:ilvl w:val="0"/>
          <w:numId w:val="2"/>
        </w:numPr>
        <w:spacing w:after="90"/>
      </w:pPr>
      <w:r>
        <w:rPr>
          <w:rFonts w:ascii="Calibri" w:cs="Calibri" w:eastAsia="Calibri" w:hAnsi="Calibri"/>
          <w:b w:val="false"/>
          <w:bCs w:val="false"/>
          <w:color w:val="12241C"/>
          <w:sz w:val="21"/>
          <w:szCs w:val="21"/>
        </w:rPr>
        <w:t xml:space="preserve">Do not coordinate abuse, mass-reporting, impersonation or deceptive engagement.</w:t>
      </w:r>
    </w:p>
    <w:p>
      <w:pPr>
        <w:pStyle w:val="ListParagraph"/>
        <w:numPr>
          <w:ilvl w:val="0"/>
          <w:numId w:val="2"/>
        </w:numPr>
        <w:spacing w:after="90"/>
      </w:pPr>
      <w:r>
        <w:rPr>
          <w:rFonts w:ascii="Calibri" w:cs="Calibri" w:eastAsia="Calibri" w:hAnsi="Calibri"/>
          <w:b w:val="false"/>
          <w:bCs w:val="false"/>
          <w:color w:val="12241C"/>
          <w:sz w:val="21"/>
          <w:szCs w:val="21"/>
        </w:rPr>
        <w:t xml:space="preserve">Archive final posts, sources, approvals and corrections in a content register.</w:t>
      </w:r>
    </w:p>
    <w:p>
      <w:pPr>
        <w:pStyle w:val="ListParagraph"/>
        <w:numPr>
          <w:ilvl w:val="0"/>
          <w:numId w:val="2"/>
        </w:numPr>
        <w:spacing w:after="90"/>
      </w:pPr>
      <w:r>
        <w:rPr>
          <w:rFonts w:ascii="Calibri" w:cs="Calibri" w:eastAsia="Calibri" w:hAnsi="Calibri"/>
          <w:b w:val="false"/>
          <w:bCs w:val="false"/>
          <w:color w:val="12241C"/>
          <w:sz w:val="21"/>
          <w:szCs w:val="21"/>
        </w:rPr>
        <w:t xml:space="preserve">Use @pakistancockroach as the primary public Instagram identity unless formally changed.</w:t>
      </w:r>
    </w:p>
    <w:p>
      <w:pPr>
        <w:pStyle w:val="Heading2"/>
        <w:pBdr>
          <w:bottom w:val="single" w:color="C9A227" w:sz="4"/>
        </w:pBdr>
        <w:spacing w:after="120" w:before="320"/>
      </w:pPr>
      <w:r>
        <w:rPr>
          <w:rFonts w:ascii="Georgia" w:cs="Georgia" w:eastAsia="Georgia" w:hAnsi="Georgia"/>
          <w:b/>
          <w:bCs/>
          <w:color w:val="0B3D26"/>
          <w:sz w:val="27"/>
          <w:szCs w:val="27"/>
        </w:rPr>
        <w:t xml:space="preserve">20. Policy Development Standard</w:t>
      </w:r>
    </w:p>
    <w:p>
      <w:pPr>
        <w:tabs>
          <w:tab w:val="left" w:pos="360"/>
        </w:tabs>
        <w:spacing w:after="110"/>
        <w:ind w:left="360" w:hanging="360"/>
      </w:pPr>
      <w:r>
        <w:rPr>
          <w:rFonts w:ascii="Consolas" w:cs="Consolas" w:eastAsia="Consolas" w:hAnsi="Consolas"/>
          <w:b/>
          <w:bCs/>
          <w:color w:val="B8892E"/>
          <w:sz w:val="19"/>
          <w:szCs w:val="19"/>
        </w:rPr>
        <w:t xml:space="preserve">26.	</w:t>
      </w:r>
      <w:r>
        <w:rPr>
          <w:rFonts w:ascii="Calibri" w:cs="Calibri" w:eastAsia="Calibri" w:hAnsi="Calibri"/>
          <w:color w:val="12241C"/>
          <w:sz w:val="20"/>
          <w:szCs w:val="20"/>
        </w:rPr>
        <w:t xml:space="preserve">Define the problem, affected groups and baseline evidence.</w:t>
      </w:r>
    </w:p>
    <w:p>
      <w:pPr>
        <w:tabs>
          <w:tab w:val="left" w:pos="360"/>
        </w:tabs>
        <w:spacing w:after="110"/>
        <w:ind w:left="360" w:hanging="360"/>
      </w:pPr>
      <w:r>
        <w:rPr>
          <w:rFonts w:ascii="Consolas" w:cs="Consolas" w:eastAsia="Consolas" w:hAnsi="Consolas"/>
          <w:b/>
          <w:bCs/>
          <w:color w:val="B8892E"/>
          <w:sz w:val="19"/>
          <w:szCs w:val="19"/>
        </w:rPr>
        <w:t xml:space="preserve">27.	</w:t>
      </w:r>
      <w:r>
        <w:rPr>
          <w:rFonts w:ascii="Calibri" w:cs="Calibri" w:eastAsia="Calibri" w:hAnsi="Calibri"/>
          <w:color w:val="12241C"/>
          <w:sz w:val="20"/>
          <w:szCs w:val="20"/>
        </w:rPr>
        <w:t xml:space="preserve">Identify constitutional and legal responsibility: federal, provincial, local or independent body.</w:t>
      </w:r>
    </w:p>
    <w:p>
      <w:pPr>
        <w:tabs>
          <w:tab w:val="left" w:pos="360"/>
        </w:tabs>
        <w:spacing w:after="110"/>
        <w:ind w:left="360" w:hanging="360"/>
      </w:pPr>
      <w:r>
        <w:rPr>
          <w:rFonts w:ascii="Consolas" w:cs="Consolas" w:eastAsia="Consolas" w:hAnsi="Consolas"/>
          <w:b/>
          <w:bCs/>
          <w:color w:val="B8892E"/>
          <w:sz w:val="19"/>
          <w:szCs w:val="19"/>
        </w:rPr>
        <w:t xml:space="preserve">28.	</w:t>
      </w:r>
      <w:r>
        <w:rPr>
          <w:rFonts w:ascii="Calibri" w:cs="Calibri" w:eastAsia="Calibri" w:hAnsi="Calibri"/>
          <w:color w:val="12241C"/>
          <w:sz w:val="20"/>
          <w:szCs w:val="20"/>
        </w:rPr>
        <w:t xml:space="preserve">Compare the current policy with at least two feasible alternatives.</w:t>
      </w:r>
    </w:p>
    <w:p>
      <w:pPr>
        <w:tabs>
          <w:tab w:val="left" w:pos="360"/>
        </w:tabs>
        <w:spacing w:after="110"/>
        <w:ind w:left="360" w:hanging="360"/>
      </w:pPr>
      <w:r>
        <w:rPr>
          <w:rFonts w:ascii="Consolas" w:cs="Consolas" w:eastAsia="Consolas" w:hAnsi="Consolas"/>
          <w:b/>
          <w:bCs/>
          <w:color w:val="B8892E"/>
          <w:sz w:val="19"/>
          <w:szCs w:val="19"/>
        </w:rPr>
        <w:t xml:space="preserve">29.	</w:t>
      </w:r>
      <w:r>
        <w:rPr>
          <w:rFonts w:ascii="Calibri" w:cs="Calibri" w:eastAsia="Calibri" w:hAnsi="Calibri"/>
          <w:color w:val="12241C"/>
          <w:sz w:val="20"/>
          <w:szCs w:val="20"/>
        </w:rPr>
        <w:t xml:space="preserve">State cost, funding, capacity, risks, trade-offs and possible unintended effects.</w:t>
      </w:r>
    </w:p>
    <w:p>
      <w:pPr>
        <w:tabs>
          <w:tab w:val="left" w:pos="360"/>
        </w:tabs>
        <w:spacing w:after="110"/>
        <w:ind w:left="360" w:hanging="360"/>
      </w:pPr>
      <w:r>
        <w:rPr>
          <w:rFonts w:ascii="Consolas" w:cs="Consolas" w:eastAsia="Consolas" w:hAnsi="Consolas"/>
          <w:b/>
          <w:bCs/>
          <w:color w:val="B8892E"/>
          <w:sz w:val="19"/>
          <w:szCs w:val="19"/>
        </w:rPr>
        <w:t xml:space="preserve">30.	</w:t>
      </w:r>
      <w:r>
        <w:rPr>
          <w:rFonts w:ascii="Calibri" w:cs="Calibri" w:eastAsia="Calibri" w:hAnsi="Calibri"/>
          <w:color w:val="12241C"/>
          <w:sz w:val="20"/>
          <w:szCs w:val="20"/>
        </w:rPr>
        <w:t xml:space="preserve">Consult experts, affected citizens and relevant institutions openly.</w:t>
      </w:r>
    </w:p>
    <w:p>
      <w:pPr>
        <w:tabs>
          <w:tab w:val="left" w:pos="360"/>
        </w:tabs>
        <w:spacing w:after="110"/>
        <w:ind w:left="360" w:hanging="360"/>
      </w:pPr>
      <w:r>
        <w:rPr>
          <w:rFonts w:ascii="Consolas" w:cs="Consolas" w:eastAsia="Consolas" w:hAnsi="Consolas"/>
          <w:b/>
          <w:bCs/>
          <w:color w:val="B8892E"/>
          <w:sz w:val="19"/>
          <w:szCs w:val="19"/>
        </w:rPr>
        <w:t xml:space="preserve">31.	</w:t>
      </w:r>
      <w:r>
        <w:rPr>
          <w:rFonts w:ascii="Calibri" w:cs="Calibri" w:eastAsia="Calibri" w:hAnsi="Calibri"/>
          <w:color w:val="12241C"/>
          <w:sz w:val="20"/>
          <w:szCs w:val="20"/>
        </w:rPr>
        <w:t xml:space="preserve">Disclose conflicts and obtain independent peer review.</w:t>
      </w:r>
    </w:p>
    <w:p>
      <w:pPr>
        <w:tabs>
          <w:tab w:val="left" w:pos="360"/>
        </w:tabs>
        <w:spacing w:after="110"/>
        <w:ind w:left="360" w:hanging="360"/>
      </w:pPr>
      <w:r>
        <w:rPr>
          <w:rFonts w:ascii="Consolas" w:cs="Consolas" w:eastAsia="Consolas" w:hAnsi="Consolas"/>
          <w:b/>
          <w:bCs/>
          <w:color w:val="B8892E"/>
          <w:sz w:val="19"/>
          <w:szCs w:val="19"/>
        </w:rPr>
        <w:t xml:space="preserve">32.	</w:t>
      </w:r>
      <w:r>
        <w:rPr>
          <w:rFonts w:ascii="Calibri" w:cs="Calibri" w:eastAsia="Calibri" w:hAnsi="Calibri"/>
          <w:color w:val="12241C"/>
          <w:sz w:val="20"/>
          <w:szCs w:val="20"/>
        </w:rPr>
        <w:t xml:space="preserve">Set KPIs, deadlines, ownership and public reporting.</w:t>
      </w:r>
    </w:p>
    <w:p>
      <w:pPr>
        <w:tabs>
          <w:tab w:val="left" w:pos="360"/>
        </w:tabs>
        <w:spacing w:after="110"/>
        <w:ind w:left="360" w:hanging="360"/>
      </w:pPr>
      <w:r>
        <w:rPr>
          <w:rFonts w:ascii="Consolas" w:cs="Consolas" w:eastAsia="Consolas" w:hAnsi="Consolas"/>
          <w:b/>
          <w:bCs/>
          <w:color w:val="B8892E"/>
          <w:sz w:val="19"/>
          <w:szCs w:val="19"/>
        </w:rPr>
        <w:t xml:space="preserve">33.	</w:t>
      </w:r>
      <w:r>
        <w:rPr>
          <w:rFonts w:ascii="Calibri" w:cs="Calibri" w:eastAsia="Calibri" w:hAnsi="Calibri"/>
          <w:color w:val="12241C"/>
          <w:sz w:val="20"/>
          <w:szCs w:val="20"/>
        </w:rPr>
        <w:t xml:space="preserve">Pilot, evaluate, correct and scale.</w:t>
      </w:r>
    </w:p>
    <w:p>
      <w:pPr>
        <w:pStyle w:val="Heading2"/>
        <w:pBdr>
          <w:bottom w:val="single" w:color="C9A227" w:sz="4"/>
        </w:pBdr>
        <w:spacing w:after="120" w:before="320"/>
      </w:pPr>
      <w:r>
        <w:rPr>
          <w:rFonts w:ascii="Georgia" w:cs="Georgia" w:eastAsia="Georgia" w:hAnsi="Georgia"/>
          <w:b/>
          <w:bCs/>
          <w:color w:val="0B3D26"/>
          <w:sz w:val="27"/>
          <w:szCs w:val="27"/>
        </w:rPr>
        <w:t xml:space="preserve">21. Financial Governance</w:t>
      </w:r>
    </w:p>
    <w:p>
      <w:pPr>
        <w:spacing w:after="160"/>
        <w:jc w:val="left"/>
      </w:pPr>
      <w:r>
        <w:rPr>
          <w:rFonts w:ascii="Calibri" w:cs="Calibri" w:eastAsia="Calibri" w:hAnsi="Calibri"/>
          <w:b w:val="false"/>
          <w:bCs w:val="false"/>
          <w:i w:val="false"/>
          <w:iCs w:val="false"/>
          <w:color w:val="12241C"/>
          <w:sz w:val="21"/>
          <w:szCs w:val="21"/>
        </w:rPr>
        <w:t xml:space="preserve">Funds must be received and spent through lawful, documented and auditable channels. Every transaction must have a purpose, evidence and approval. Cash should be exceptional, limited and fully recorded.</w:t>
      </w:r>
    </w:p>
    <w:tbl>
      <w:tblPr>
        <w:tblW w:type="pct" w:w="100%"/>
        <w:tblBorders>
          <w:top w:val="single" w:color="CCCCCC" w:sz="2"/>
          <w:left w:val="single" w:color="CCCCCC" w:sz="2"/>
          <w:bottom w:val="single" w:color="CCCCCC" w:sz="2"/>
          <w:right w:val="single" w:color="CCCCCC" w:sz="2"/>
          <w:insideH w:val="single" w:color="E3DFD3" w:sz="2"/>
          <w:insideV w:val="single" w:color="E3DFD3" w:sz="2"/>
        </w:tblBorders>
      </w:tblPr>
      <w:tblGrid>
        <w:gridCol w:w="2200"/>
        <w:gridCol w:w="4500"/>
        <w:gridCol w:w="2650"/>
      </w:tblGrid>
      <w:tr>
        <w:trPr>
          <w:tblHeader/>
        </w:trPr>
        <w:tc>
          <w:tcPr>
            <w:tcW w:type="dxa" w:w="22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Control</w:t>
            </w:r>
          </w:p>
        </w:tc>
        <w:tc>
          <w:tcPr>
            <w:tcW w:type="dxa" w:w="45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Minimum Rule</w:t>
            </w:r>
          </w:p>
        </w:tc>
        <w:tc>
          <w:tcPr>
            <w:tcW w:type="dxa" w:w="265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Evidence</w:t>
            </w:r>
          </w:p>
        </w:tc>
      </w:tr>
      <w:tr>
        <w:tc>
          <w:tcPr>
            <w:tcW w:type="dxa" w:w="2200"/>
            <w:shd w:fill="FFFFFF" w:val="clear"/>
            <w:tcMar>
              <w:top w:type="dxa" w:w="110"/>
              <w:left w:type="dxa" w:w="140"/>
              <w:bottom w:type="dxa" w:w="110"/>
              <w:right w:type="dxa" w:w="140"/>
            </w:tcMar>
          </w:tcPr>
          <w:p>
            <w:r>
              <w:rPr>
                <w:rFonts w:ascii="Calibri" w:cs="Calibri" w:eastAsia="Calibri" w:hAnsi="Calibri"/>
                <w:color w:val="12241C"/>
                <w:sz w:val="19"/>
                <w:szCs w:val="19"/>
              </w:rPr>
              <w:t xml:space="preserve">Payment</w:t>
            </w:r>
          </w:p>
        </w:tc>
        <w:tc>
          <w:tcPr>
            <w:tcW w:type="dxa" w:w="4500"/>
            <w:shd w:fill="FFFFFF" w:val="clear"/>
            <w:tcMar>
              <w:top w:type="dxa" w:w="110"/>
              <w:left w:type="dxa" w:w="140"/>
              <w:bottom w:type="dxa" w:w="110"/>
              <w:right w:type="dxa" w:w="140"/>
            </w:tcMar>
          </w:tcPr>
          <w:p>
            <w:r>
              <w:rPr>
                <w:rFonts w:ascii="Calibri" w:cs="Calibri" w:eastAsia="Calibri" w:hAnsi="Calibri"/>
                <w:color w:val="12241C"/>
                <w:sz w:val="19"/>
                <w:szCs w:val="19"/>
              </w:rPr>
              <w:t xml:space="preserve">Request, purpose, receipt and two approvals</w:t>
            </w:r>
          </w:p>
        </w:tc>
        <w:tc>
          <w:tcPr>
            <w:tcW w:type="dxa" w:w="2650"/>
            <w:shd w:fill="FFFFFF" w:val="clear"/>
            <w:tcMar>
              <w:top w:type="dxa" w:w="110"/>
              <w:left w:type="dxa" w:w="140"/>
              <w:bottom w:type="dxa" w:w="110"/>
              <w:right w:type="dxa" w:w="140"/>
            </w:tcMar>
          </w:tcPr>
          <w:p>
            <w:r>
              <w:rPr>
                <w:rFonts w:ascii="Calibri" w:cs="Calibri" w:eastAsia="Calibri" w:hAnsi="Calibri"/>
                <w:color w:val="12241C"/>
                <w:sz w:val="19"/>
                <w:szCs w:val="19"/>
              </w:rPr>
              <w:t xml:space="preserve">Digital payment packet</w:t>
            </w:r>
          </w:p>
        </w:tc>
      </w:tr>
      <w:tr>
        <w:tc>
          <w:tcPr>
            <w:tcW w:type="dxa" w:w="2200"/>
            <w:shd w:fill="E7EFE9" w:val="clear"/>
            <w:tcMar>
              <w:top w:type="dxa" w:w="110"/>
              <w:left w:type="dxa" w:w="140"/>
              <w:bottom w:type="dxa" w:w="110"/>
              <w:right w:type="dxa" w:w="140"/>
            </w:tcMar>
          </w:tcPr>
          <w:p>
            <w:r>
              <w:rPr>
                <w:rFonts w:ascii="Calibri" w:cs="Calibri" w:eastAsia="Calibri" w:hAnsi="Calibri"/>
                <w:color w:val="12241C"/>
                <w:sz w:val="19"/>
                <w:szCs w:val="19"/>
              </w:rPr>
              <w:t xml:space="preserve">Procurement</w:t>
            </w:r>
          </w:p>
        </w:tc>
        <w:tc>
          <w:tcPr>
            <w:tcW w:type="dxa" w:w="4500"/>
            <w:shd w:fill="E7EFE9" w:val="clear"/>
            <w:tcMar>
              <w:top w:type="dxa" w:w="110"/>
              <w:left w:type="dxa" w:w="140"/>
              <w:bottom w:type="dxa" w:w="110"/>
              <w:right w:type="dxa" w:w="140"/>
            </w:tcMar>
          </w:tcPr>
          <w:p>
            <w:r>
              <w:rPr>
                <w:rFonts w:ascii="Calibri" w:cs="Calibri" w:eastAsia="Calibri" w:hAnsi="Calibri"/>
                <w:color w:val="12241C"/>
                <w:sz w:val="19"/>
                <w:szCs w:val="19"/>
              </w:rPr>
              <w:t xml:space="preserve">Proportionate quotations and conflict disclosure</w:t>
            </w:r>
          </w:p>
        </w:tc>
        <w:tc>
          <w:tcPr>
            <w:tcW w:type="dxa" w:w="2650"/>
            <w:shd w:fill="E7EFE9" w:val="clear"/>
            <w:tcMar>
              <w:top w:type="dxa" w:w="110"/>
              <w:left w:type="dxa" w:w="140"/>
              <w:bottom w:type="dxa" w:w="110"/>
              <w:right w:type="dxa" w:w="140"/>
            </w:tcMar>
          </w:tcPr>
          <w:p>
            <w:r>
              <w:rPr>
                <w:rFonts w:ascii="Calibri" w:cs="Calibri" w:eastAsia="Calibri" w:hAnsi="Calibri"/>
                <w:color w:val="12241C"/>
                <w:sz w:val="19"/>
                <w:szCs w:val="19"/>
              </w:rPr>
              <w:t xml:space="preserve">Comparison and approval record</w:t>
            </w:r>
          </w:p>
        </w:tc>
      </w:tr>
      <w:tr>
        <w:tc>
          <w:tcPr>
            <w:tcW w:type="dxa" w:w="2200"/>
            <w:shd w:fill="FFFFFF" w:val="clear"/>
            <w:tcMar>
              <w:top w:type="dxa" w:w="110"/>
              <w:left w:type="dxa" w:w="140"/>
              <w:bottom w:type="dxa" w:w="110"/>
              <w:right w:type="dxa" w:w="140"/>
            </w:tcMar>
          </w:tcPr>
          <w:p>
            <w:r>
              <w:rPr>
                <w:rFonts w:ascii="Calibri" w:cs="Calibri" w:eastAsia="Calibri" w:hAnsi="Calibri"/>
                <w:color w:val="12241C"/>
                <w:sz w:val="19"/>
                <w:szCs w:val="19"/>
              </w:rPr>
              <w:t xml:space="preserve">Donation</w:t>
            </w:r>
          </w:p>
        </w:tc>
        <w:tc>
          <w:tcPr>
            <w:tcW w:type="dxa" w:w="4500"/>
            <w:shd w:fill="FFFFFF" w:val="clear"/>
            <w:tcMar>
              <w:top w:type="dxa" w:w="110"/>
              <w:left w:type="dxa" w:w="140"/>
              <w:bottom w:type="dxa" w:w="110"/>
              <w:right w:type="dxa" w:w="140"/>
            </w:tcMar>
          </w:tcPr>
          <w:p>
            <w:r>
              <w:rPr>
                <w:rFonts w:ascii="Calibri" w:cs="Calibri" w:eastAsia="Calibri" w:hAnsi="Calibri"/>
                <w:color w:val="12241C"/>
                <w:sz w:val="19"/>
                <w:szCs w:val="19"/>
              </w:rPr>
              <w:t xml:space="preserve">Identity, legal eligibility, receipt and restricted-purpose record</w:t>
            </w:r>
          </w:p>
        </w:tc>
        <w:tc>
          <w:tcPr>
            <w:tcW w:type="dxa" w:w="2650"/>
            <w:shd w:fill="FFFFFF" w:val="clear"/>
            <w:tcMar>
              <w:top w:type="dxa" w:w="110"/>
              <w:left w:type="dxa" w:w="140"/>
              <w:bottom w:type="dxa" w:w="110"/>
              <w:right w:type="dxa" w:w="140"/>
            </w:tcMar>
          </w:tcPr>
          <w:p>
            <w:r>
              <w:rPr>
                <w:rFonts w:ascii="Calibri" w:cs="Calibri" w:eastAsia="Calibri" w:hAnsi="Calibri"/>
                <w:color w:val="12241C"/>
                <w:sz w:val="19"/>
                <w:szCs w:val="19"/>
              </w:rPr>
              <w:t xml:space="preserve">Donor register</w:t>
            </w:r>
          </w:p>
        </w:tc>
      </w:tr>
      <w:tr>
        <w:tc>
          <w:tcPr>
            <w:tcW w:type="dxa" w:w="2200"/>
            <w:shd w:fill="E7EFE9" w:val="clear"/>
            <w:tcMar>
              <w:top w:type="dxa" w:w="110"/>
              <w:left w:type="dxa" w:w="140"/>
              <w:bottom w:type="dxa" w:w="110"/>
              <w:right w:type="dxa" w:w="140"/>
            </w:tcMar>
          </w:tcPr>
          <w:p>
            <w:r>
              <w:rPr>
                <w:rFonts w:ascii="Calibri" w:cs="Calibri" w:eastAsia="Calibri" w:hAnsi="Calibri"/>
                <w:color w:val="12241C"/>
                <w:sz w:val="19"/>
                <w:szCs w:val="19"/>
              </w:rPr>
              <w:t xml:space="preserve">Budget</w:t>
            </w:r>
          </w:p>
        </w:tc>
        <w:tc>
          <w:tcPr>
            <w:tcW w:type="dxa" w:w="4500"/>
            <w:shd w:fill="E7EFE9" w:val="clear"/>
            <w:tcMar>
              <w:top w:type="dxa" w:w="110"/>
              <w:left w:type="dxa" w:w="140"/>
              <w:bottom w:type="dxa" w:w="110"/>
              <w:right w:type="dxa" w:w="140"/>
            </w:tcMar>
          </w:tcPr>
          <w:p>
            <w:r>
              <w:rPr>
                <w:rFonts w:ascii="Calibri" w:cs="Calibri" w:eastAsia="Calibri" w:hAnsi="Calibri"/>
                <w:color w:val="12241C"/>
                <w:sz w:val="19"/>
                <w:szCs w:val="19"/>
              </w:rPr>
              <w:t xml:space="preserve">Approved annual budget; written reason for variation</w:t>
            </w:r>
          </w:p>
        </w:tc>
        <w:tc>
          <w:tcPr>
            <w:tcW w:type="dxa" w:w="2650"/>
            <w:shd w:fill="E7EFE9" w:val="clear"/>
            <w:tcMar>
              <w:top w:type="dxa" w:w="110"/>
              <w:left w:type="dxa" w:w="140"/>
              <w:bottom w:type="dxa" w:w="110"/>
              <w:right w:type="dxa" w:w="140"/>
            </w:tcMar>
          </w:tcPr>
          <w:p>
            <w:r>
              <w:rPr>
                <w:rFonts w:ascii="Calibri" w:cs="Calibri" w:eastAsia="Calibri" w:hAnsi="Calibri"/>
                <w:color w:val="12241C"/>
                <w:sz w:val="19"/>
                <w:szCs w:val="19"/>
              </w:rPr>
              <w:t xml:space="preserve">Budget-versus-actual report</w:t>
            </w:r>
          </w:p>
        </w:tc>
      </w:tr>
      <w:tr>
        <w:tc>
          <w:tcPr>
            <w:tcW w:type="dxa" w:w="2200"/>
            <w:shd w:fill="FFFFFF" w:val="clear"/>
            <w:tcMar>
              <w:top w:type="dxa" w:w="110"/>
              <w:left w:type="dxa" w:w="140"/>
              <w:bottom w:type="dxa" w:w="110"/>
              <w:right w:type="dxa" w:w="140"/>
            </w:tcMar>
          </w:tcPr>
          <w:p>
            <w:r>
              <w:rPr>
                <w:rFonts w:ascii="Calibri" w:cs="Calibri" w:eastAsia="Calibri" w:hAnsi="Calibri"/>
                <w:color w:val="12241C"/>
                <w:sz w:val="19"/>
                <w:szCs w:val="19"/>
              </w:rPr>
              <w:t xml:space="preserve">Audit</w:t>
            </w:r>
          </w:p>
        </w:tc>
        <w:tc>
          <w:tcPr>
            <w:tcW w:type="dxa" w:w="4500"/>
            <w:shd w:fill="FFFFFF" w:val="clear"/>
            <w:tcMar>
              <w:top w:type="dxa" w:w="110"/>
              <w:left w:type="dxa" w:w="140"/>
              <w:bottom w:type="dxa" w:w="110"/>
              <w:right w:type="dxa" w:w="140"/>
            </w:tcMar>
          </w:tcPr>
          <w:p>
            <w:r>
              <w:rPr>
                <w:rFonts w:ascii="Calibri" w:cs="Calibri" w:eastAsia="Calibri" w:hAnsi="Calibri"/>
                <w:color w:val="12241C"/>
                <w:sz w:val="19"/>
                <w:szCs w:val="19"/>
              </w:rPr>
              <w:t xml:space="preserve">Annual independent audit and management response</w:t>
            </w:r>
          </w:p>
        </w:tc>
        <w:tc>
          <w:tcPr>
            <w:tcW w:type="dxa" w:w="2650"/>
            <w:shd w:fill="FFFFFF" w:val="clear"/>
            <w:tcMar>
              <w:top w:type="dxa" w:w="110"/>
              <w:left w:type="dxa" w:w="140"/>
              <w:bottom w:type="dxa" w:w="110"/>
              <w:right w:type="dxa" w:w="140"/>
            </w:tcMar>
          </w:tcPr>
          <w:p>
            <w:r>
              <w:rPr>
                <w:rFonts w:ascii="Calibri" w:cs="Calibri" w:eastAsia="Calibri" w:hAnsi="Calibri"/>
                <w:color w:val="12241C"/>
                <w:sz w:val="19"/>
                <w:szCs w:val="19"/>
              </w:rPr>
              <w:t xml:space="preserve">Published summary</w:t>
            </w:r>
          </w:p>
        </w:tc>
      </w:tr>
    </w:tbl>
    <w:p>
      <w:pPr>
        <w:pStyle w:val="Heading2"/>
        <w:pBdr>
          <w:bottom w:val="single" w:color="C9A227" w:sz="4"/>
        </w:pBdr>
        <w:spacing w:after="120" w:before="320"/>
      </w:pPr>
      <w:r>
        <w:rPr>
          <w:rFonts w:ascii="Georgia" w:cs="Georgia" w:eastAsia="Georgia" w:hAnsi="Georgia"/>
          <w:b/>
          <w:bCs/>
          <w:color w:val="0B3D26"/>
          <w:sz w:val="27"/>
          <w:szCs w:val="27"/>
        </w:rPr>
        <w:t xml:space="preserve">22. Conflicts of Interest</w:t>
      </w:r>
    </w:p>
    <w:p>
      <w:pPr>
        <w:spacing w:after="160"/>
        <w:jc w:val="left"/>
      </w:pPr>
      <w:r>
        <w:rPr>
          <w:rFonts w:ascii="Calibri" w:cs="Calibri" w:eastAsia="Calibri" w:hAnsi="Calibri"/>
          <w:b w:val="false"/>
          <w:bCs w:val="false"/>
          <w:i w:val="false"/>
          <w:iCs w:val="false"/>
          <w:color w:val="12241C"/>
          <w:sz w:val="21"/>
          <w:szCs w:val="21"/>
        </w:rPr>
        <w:t xml:space="preserve">A decision-maker must disclose any business, family, employment, donation, contract or other relationship that could influence a PCP decision. Having a conflict is not automatically misconduct; hiding it, influencing the decision or receiving an improper benefit is.</w:t>
      </w:r>
    </w:p>
    <w:p>
      <w:pPr>
        <w:tabs>
          <w:tab w:val="left" w:pos="360"/>
        </w:tabs>
        <w:spacing w:after="110"/>
        <w:ind w:left="360" w:hanging="360"/>
      </w:pPr>
      <w:r>
        <w:rPr>
          <w:rFonts w:ascii="Consolas" w:cs="Consolas" w:eastAsia="Consolas" w:hAnsi="Consolas"/>
          <w:b/>
          <w:bCs/>
          <w:color w:val="B8892E"/>
          <w:sz w:val="19"/>
          <w:szCs w:val="19"/>
        </w:rPr>
        <w:t xml:space="preserve">34.	</w:t>
      </w:r>
      <w:r>
        <w:rPr>
          <w:rFonts w:ascii="Calibri" w:cs="Calibri" w:eastAsia="Calibri" w:hAnsi="Calibri"/>
          <w:color w:val="12241C"/>
          <w:sz w:val="20"/>
          <w:szCs w:val="20"/>
        </w:rPr>
        <w:t xml:space="preserve">Declare the interest before discussion.</w:t>
      </w:r>
    </w:p>
    <w:p>
      <w:pPr>
        <w:tabs>
          <w:tab w:val="left" w:pos="360"/>
        </w:tabs>
        <w:spacing w:after="110"/>
        <w:ind w:left="360" w:hanging="360"/>
      </w:pPr>
      <w:r>
        <w:rPr>
          <w:rFonts w:ascii="Consolas" w:cs="Consolas" w:eastAsia="Consolas" w:hAnsi="Consolas"/>
          <w:b/>
          <w:bCs/>
          <w:color w:val="B8892E"/>
          <w:sz w:val="19"/>
          <w:szCs w:val="19"/>
        </w:rPr>
        <w:t xml:space="preserve">35.	</w:t>
      </w:r>
      <w:r>
        <w:rPr>
          <w:rFonts w:ascii="Calibri" w:cs="Calibri" w:eastAsia="Calibri" w:hAnsi="Calibri"/>
          <w:color w:val="12241C"/>
          <w:sz w:val="20"/>
          <w:szCs w:val="20"/>
        </w:rPr>
        <w:t xml:space="preserve">Record it in the minutes and conflict register.</w:t>
      </w:r>
    </w:p>
    <w:p>
      <w:pPr>
        <w:tabs>
          <w:tab w:val="left" w:pos="360"/>
        </w:tabs>
        <w:spacing w:after="110"/>
        <w:ind w:left="360" w:hanging="360"/>
      </w:pPr>
      <w:r>
        <w:rPr>
          <w:rFonts w:ascii="Consolas" w:cs="Consolas" w:eastAsia="Consolas" w:hAnsi="Consolas"/>
          <w:b/>
          <w:bCs/>
          <w:color w:val="B8892E"/>
          <w:sz w:val="19"/>
          <w:szCs w:val="19"/>
        </w:rPr>
        <w:t xml:space="preserve">36.	</w:t>
      </w:r>
      <w:r>
        <w:rPr>
          <w:rFonts w:ascii="Calibri" w:cs="Calibri" w:eastAsia="Calibri" w:hAnsi="Calibri"/>
          <w:color w:val="12241C"/>
          <w:sz w:val="20"/>
          <w:szCs w:val="20"/>
        </w:rPr>
        <w:t xml:space="preserve">Withdraw from discussion, access and voting where required.</w:t>
      </w:r>
    </w:p>
    <w:p>
      <w:pPr>
        <w:tabs>
          <w:tab w:val="left" w:pos="360"/>
        </w:tabs>
        <w:spacing w:after="110"/>
        <w:ind w:left="360" w:hanging="360"/>
      </w:pPr>
      <w:r>
        <w:rPr>
          <w:rFonts w:ascii="Consolas" w:cs="Consolas" w:eastAsia="Consolas" w:hAnsi="Consolas"/>
          <w:b/>
          <w:bCs/>
          <w:color w:val="B8892E"/>
          <w:sz w:val="19"/>
          <w:szCs w:val="19"/>
        </w:rPr>
        <w:t xml:space="preserve">37.	</w:t>
      </w:r>
      <w:r>
        <w:rPr>
          <w:rFonts w:ascii="Calibri" w:cs="Calibri" w:eastAsia="Calibri" w:hAnsi="Calibri"/>
          <w:color w:val="12241C"/>
          <w:sz w:val="20"/>
          <w:szCs w:val="20"/>
        </w:rPr>
        <w:t xml:space="preserve">Obtain independent advice or valuation for material decisions.</w:t>
      </w:r>
    </w:p>
    <w:p>
      <w:pPr>
        <w:tabs>
          <w:tab w:val="left" w:pos="360"/>
        </w:tabs>
        <w:spacing w:after="110"/>
        <w:ind w:left="360" w:hanging="360"/>
      </w:pPr>
      <w:r>
        <w:rPr>
          <w:rFonts w:ascii="Consolas" w:cs="Consolas" w:eastAsia="Consolas" w:hAnsi="Consolas"/>
          <w:b/>
          <w:bCs/>
          <w:color w:val="B8892E"/>
          <w:sz w:val="19"/>
          <w:szCs w:val="19"/>
        </w:rPr>
        <w:t xml:space="preserve">38.	</w:t>
      </w:r>
      <w:r>
        <w:rPr>
          <w:rFonts w:ascii="Calibri" w:cs="Calibri" w:eastAsia="Calibri" w:hAnsi="Calibri"/>
          <w:color w:val="12241C"/>
          <w:sz w:val="20"/>
          <w:szCs w:val="20"/>
        </w:rPr>
        <w:t xml:space="preserve">Publish an appropriate annual summary while protecting lawful privacy.</w:t>
      </w:r>
    </w:p>
    <w:p>
      <w:pPr>
        <w:pStyle w:val="Heading2"/>
        <w:pBdr>
          <w:bottom w:val="single" w:color="C9A227" w:sz="4"/>
        </w:pBdr>
        <w:spacing w:after="120" w:before="320"/>
      </w:pPr>
      <w:r>
        <w:rPr>
          <w:rFonts w:ascii="Georgia" w:cs="Georgia" w:eastAsia="Georgia" w:hAnsi="Georgia"/>
          <w:b/>
          <w:bCs/>
          <w:color w:val="0B3D26"/>
          <w:sz w:val="27"/>
          <w:szCs w:val="27"/>
        </w:rPr>
        <w:t xml:space="preserve">23. Complaints, Discipline and Appeal</w:t>
      </w:r>
    </w:p>
    <w:p>
      <w:pPr>
        <w:tabs>
          <w:tab w:val="left" w:pos="360"/>
        </w:tabs>
        <w:spacing w:after="110"/>
        <w:ind w:left="360" w:hanging="360"/>
      </w:pPr>
      <w:r>
        <w:rPr>
          <w:rFonts w:ascii="Consolas" w:cs="Consolas" w:eastAsia="Consolas" w:hAnsi="Consolas"/>
          <w:b/>
          <w:bCs/>
          <w:color w:val="B8892E"/>
          <w:sz w:val="19"/>
          <w:szCs w:val="19"/>
        </w:rPr>
        <w:t xml:space="preserve">39.	</w:t>
      </w:r>
      <w:r>
        <w:rPr>
          <w:rFonts w:ascii="Calibri" w:cs="Calibri" w:eastAsia="Calibri" w:hAnsi="Calibri"/>
          <w:color w:val="12241C"/>
          <w:sz w:val="20"/>
          <w:szCs w:val="20"/>
        </w:rPr>
        <w:t xml:space="preserve">Acknowledge a complaint within 72 hours.</w:t>
      </w:r>
    </w:p>
    <w:p>
      <w:pPr>
        <w:tabs>
          <w:tab w:val="left" w:pos="360"/>
        </w:tabs>
        <w:spacing w:after="110"/>
        <w:ind w:left="360" w:hanging="360"/>
      </w:pPr>
      <w:r>
        <w:rPr>
          <w:rFonts w:ascii="Consolas" w:cs="Consolas" w:eastAsia="Consolas" w:hAnsi="Consolas"/>
          <w:b/>
          <w:bCs/>
          <w:color w:val="B8892E"/>
          <w:sz w:val="19"/>
          <w:szCs w:val="19"/>
        </w:rPr>
        <w:t xml:space="preserve">40.	</w:t>
      </w:r>
      <w:r>
        <w:rPr>
          <w:rFonts w:ascii="Calibri" w:cs="Calibri" w:eastAsia="Calibri" w:hAnsi="Calibri"/>
          <w:color w:val="12241C"/>
          <w:sz w:val="20"/>
          <w:szCs w:val="20"/>
        </w:rPr>
        <w:t xml:space="preserve">Conduct an initial safety, evidence and conflict-of-interest assessment.</w:t>
      </w:r>
    </w:p>
    <w:p>
      <w:pPr>
        <w:tabs>
          <w:tab w:val="left" w:pos="360"/>
        </w:tabs>
        <w:spacing w:after="110"/>
        <w:ind w:left="360" w:hanging="360"/>
      </w:pPr>
      <w:r>
        <w:rPr>
          <w:rFonts w:ascii="Consolas" w:cs="Consolas" w:eastAsia="Consolas" w:hAnsi="Consolas"/>
          <w:b/>
          <w:bCs/>
          <w:color w:val="B8892E"/>
          <w:sz w:val="19"/>
          <w:szCs w:val="19"/>
        </w:rPr>
        <w:t xml:space="preserve">41.	</w:t>
      </w:r>
      <w:r>
        <w:rPr>
          <w:rFonts w:ascii="Calibri" w:cs="Calibri" w:eastAsia="Calibri" w:hAnsi="Calibri"/>
          <w:color w:val="12241C"/>
          <w:sz w:val="20"/>
          <w:szCs w:val="20"/>
        </w:rPr>
        <w:t xml:space="preserve">Appoint an impartial investigator or panel and provide a fair right to respond.</w:t>
      </w:r>
    </w:p>
    <w:p>
      <w:pPr>
        <w:tabs>
          <w:tab w:val="left" w:pos="360"/>
        </w:tabs>
        <w:spacing w:after="110"/>
        <w:ind w:left="360" w:hanging="360"/>
      </w:pPr>
      <w:r>
        <w:rPr>
          <w:rFonts w:ascii="Consolas" w:cs="Consolas" w:eastAsia="Consolas" w:hAnsi="Consolas"/>
          <w:b/>
          <w:bCs/>
          <w:color w:val="B8892E"/>
          <w:sz w:val="19"/>
          <w:szCs w:val="19"/>
        </w:rPr>
        <w:t xml:space="preserve">42.	</w:t>
      </w:r>
      <w:r>
        <w:rPr>
          <w:rFonts w:ascii="Calibri" w:cs="Calibri" w:eastAsia="Calibri" w:hAnsi="Calibri"/>
          <w:color w:val="12241C"/>
          <w:sz w:val="20"/>
          <w:szCs w:val="20"/>
        </w:rPr>
        <w:t xml:space="preserve">Issue a written finding: substantiated, partly substantiated, unsubstantiated or insufficient evidence.</w:t>
      </w:r>
    </w:p>
    <w:p>
      <w:pPr>
        <w:tabs>
          <w:tab w:val="left" w:pos="360"/>
        </w:tabs>
        <w:spacing w:after="110"/>
        <w:ind w:left="360" w:hanging="360"/>
      </w:pPr>
      <w:r>
        <w:rPr>
          <w:rFonts w:ascii="Consolas" w:cs="Consolas" w:eastAsia="Consolas" w:hAnsi="Consolas"/>
          <w:b/>
          <w:bCs/>
          <w:color w:val="B8892E"/>
          <w:sz w:val="19"/>
          <w:szCs w:val="19"/>
        </w:rPr>
        <w:t xml:space="preserve">43.	</w:t>
      </w:r>
      <w:r>
        <w:rPr>
          <w:rFonts w:ascii="Calibri" w:cs="Calibri" w:eastAsia="Calibri" w:hAnsi="Calibri"/>
          <w:color w:val="12241C"/>
          <w:sz w:val="20"/>
          <w:szCs w:val="20"/>
        </w:rPr>
        <w:t xml:space="preserve">Apply proportionate action: advice, warning, training, suspension, removal from office or termination of membership.</w:t>
      </w:r>
    </w:p>
    <w:p>
      <w:pPr>
        <w:tabs>
          <w:tab w:val="left" w:pos="360"/>
        </w:tabs>
        <w:spacing w:after="110"/>
        <w:ind w:left="360" w:hanging="360"/>
      </w:pPr>
      <w:r>
        <w:rPr>
          <w:rFonts w:ascii="Consolas" w:cs="Consolas" w:eastAsia="Consolas" w:hAnsi="Consolas"/>
          <w:b/>
          <w:bCs/>
          <w:color w:val="B8892E"/>
          <w:sz w:val="19"/>
          <w:szCs w:val="19"/>
        </w:rPr>
        <w:t xml:space="preserve">44.	</w:t>
      </w:r>
      <w:r>
        <w:rPr>
          <w:rFonts w:ascii="Calibri" w:cs="Calibri" w:eastAsia="Calibri" w:hAnsi="Calibri"/>
          <w:color w:val="12241C"/>
          <w:sz w:val="20"/>
          <w:szCs w:val="20"/>
        </w:rPr>
        <w:t xml:space="preserve">Provide an appeal to a separate panel within a defined period.</w:t>
      </w:r>
    </w:p>
    <w:tbl>
      <w:tblPr>
        <w:tblW w:type="pct" w:w="100%"/>
        <w:tblBorders>
          <w:top w:val="none"/>
          <w:left w:val="none"/>
          <w:bottom w:val="none"/>
          <w:right w:val="none"/>
          <w:insideH w:val="none"/>
          <w:insideV w:val="none"/>
        </w:tblBorders>
      </w:tblPr>
      <w:tblGrid>
        <w:gridCol w:w="100"/>
      </w:tblGrid>
      <w:tr>
        <w:tc>
          <w:tcPr>
            <w:shd w:fill="F4E6DE" w:val="clear"/>
            <w:tcMar>
              <w:top w:type="dxa" w:w="200"/>
              <w:left w:type="dxa" w:w="240"/>
              <w:bottom w:type="dxa" w:w="200"/>
              <w:right w:type="dxa" w:w="240"/>
            </w:tcMar>
          </w:tcPr>
          <w:p>
            <w:r>
              <w:rPr>
                <w:rFonts w:ascii="Consolas" w:cs="Consolas" w:eastAsia="Consolas" w:hAnsi="Consolas"/>
                <w:b/>
                <w:bCs/>
                <w:color w:val="8A2E21"/>
                <w:sz w:val="18"/>
                <w:szCs w:val="18"/>
              </w:rPr>
              <w:t xml:space="preserve">PROTECTION — </w:t>
            </w:r>
            <w:r>
              <w:rPr>
                <w:rFonts w:ascii="Calibri" w:cs="Calibri" w:eastAsia="Calibri" w:hAnsi="Calibri"/>
                <w:color w:val="12241C"/>
                <w:sz w:val="20"/>
                <w:szCs w:val="20"/>
              </w:rPr>
              <w:t xml:space="preserve">Retaliation against a good-faith complainant or witness is prohibited. Deliberately false and malicious complaints are also misconduct.</w:t>
            </w:r>
          </w:p>
        </w:tc>
      </w:tr>
    </w:tbl>
    <w:p>
      <w:pPr>
        <w:pStyle w:val="Heading2"/>
        <w:pBdr>
          <w:bottom w:val="single" w:color="C9A227" w:sz="4"/>
        </w:pBdr>
        <w:spacing w:after="120" w:before="320"/>
      </w:pPr>
      <w:r>
        <w:rPr>
          <w:rFonts w:ascii="Georgia" w:cs="Georgia" w:eastAsia="Georgia" w:hAnsi="Georgia"/>
          <w:b/>
          <w:bCs/>
          <w:color w:val="0B3D26"/>
          <w:sz w:val="27"/>
          <w:szCs w:val="27"/>
        </w:rPr>
        <w:t xml:space="preserve">24. Personal Data and Digital Security</w:t>
      </w:r>
    </w:p>
    <w:p>
      <w:pPr>
        <w:pStyle w:val="ListParagraph"/>
        <w:numPr>
          <w:ilvl w:val="0"/>
          <w:numId w:val="2"/>
        </w:numPr>
        <w:spacing w:after="90"/>
      </w:pPr>
      <w:r>
        <w:rPr>
          <w:rFonts w:ascii="Calibri" w:cs="Calibri" w:eastAsia="Calibri" w:hAnsi="Calibri"/>
          <w:b w:val="false"/>
          <w:bCs w:val="false"/>
          <w:color w:val="12241C"/>
          <w:sz w:val="21"/>
          <w:szCs w:val="21"/>
        </w:rPr>
        <w:t xml:space="preserve">Collect only necessary data and state its purpose, access and retention period.</w:t>
      </w:r>
    </w:p>
    <w:p>
      <w:pPr>
        <w:pStyle w:val="ListParagraph"/>
        <w:numPr>
          <w:ilvl w:val="0"/>
          <w:numId w:val="2"/>
        </w:numPr>
        <w:spacing w:after="90"/>
      </w:pPr>
      <w:r>
        <w:rPr>
          <w:rFonts w:ascii="Calibri" w:cs="Calibri" w:eastAsia="Calibri" w:hAnsi="Calibri"/>
          <w:b w:val="false"/>
          <w:bCs w:val="false"/>
          <w:color w:val="12241C"/>
          <w:sz w:val="21"/>
          <w:szCs w:val="21"/>
        </w:rPr>
        <w:t xml:space="preserve">Obtain clear consent for membership and communication, with an unsubscribe route.</w:t>
      </w:r>
    </w:p>
    <w:p>
      <w:pPr>
        <w:pStyle w:val="ListParagraph"/>
        <w:numPr>
          <w:ilvl w:val="0"/>
          <w:numId w:val="2"/>
        </w:numPr>
        <w:spacing w:after="90"/>
      </w:pPr>
      <w:r>
        <w:rPr>
          <w:rFonts w:ascii="Calibri" w:cs="Calibri" w:eastAsia="Calibri" w:hAnsi="Calibri"/>
          <w:b w:val="false"/>
          <w:bCs w:val="false"/>
          <w:color w:val="12241C"/>
          <w:sz w:val="21"/>
          <w:szCs w:val="21"/>
        </w:rPr>
        <w:t xml:space="preserve">Prohibit covert profiling, sensitive-data targeting and unlawfully purchased lists.</w:t>
      </w:r>
    </w:p>
    <w:p>
      <w:pPr>
        <w:pStyle w:val="ListParagraph"/>
        <w:numPr>
          <w:ilvl w:val="0"/>
          <w:numId w:val="2"/>
        </w:numPr>
        <w:spacing w:after="90"/>
      </w:pPr>
      <w:r>
        <w:rPr>
          <w:rFonts w:ascii="Calibri" w:cs="Calibri" w:eastAsia="Calibri" w:hAnsi="Calibri"/>
          <w:b w:val="false"/>
          <w:bCs w:val="false"/>
          <w:color w:val="12241C"/>
          <w:sz w:val="21"/>
          <w:szCs w:val="21"/>
        </w:rPr>
        <w:t xml:space="preserve">Use multi-factor authentication, role-based access and secure recovery for important accounts.</w:t>
      </w:r>
    </w:p>
    <w:p>
      <w:pPr>
        <w:pStyle w:val="ListParagraph"/>
        <w:numPr>
          <w:ilvl w:val="0"/>
          <w:numId w:val="2"/>
        </w:numPr>
        <w:spacing w:after="90"/>
      </w:pPr>
      <w:r>
        <w:rPr>
          <w:rFonts w:ascii="Calibri" w:cs="Calibri" w:eastAsia="Calibri" w:hAnsi="Calibri"/>
          <w:b w:val="false"/>
          <w:bCs w:val="false"/>
          <w:color w:val="12241C"/>
          <w:sz w:val="21"/>
          <w:szCs w:val="21"/>
        </w:rPr>
        <w:t xml:space="preserve">Document, contain and lawfully report any data breach; notify affected people where appropriate.</w:t>
      </w:r>
    </w:p>
    <w:p>
      <w:pPr>
        <w:pStyle w:val="ListParagraph"/>
        <w:numPr>
          <w:ilvl w:val="0"/>
          <w:numId w:val="2"/>
        </w:numPr>
        <w:spacing w:after="90"/>
      </w:pPr>
      <w:r>
        <w:rPr>
          <w:rFonts w:ascii="Calibri" w:cs="Calibri" w:eastAsia="Calibri" w:hAnsi="Calibri"/>
          <w:b w:val="false"/>
          <w:bCs w:val="false"/>
          <w:color w:val="12241C"/>
          <w:sz w:val="21"/>
          <w:szCs w:val="21"/>
        </w:rPr>
        <w:t xml:space="preserve">Remove access immediately when a volunteer or officer leaves a role.</w:t>
      </w:r>
    </w:p>
    <w:p>
      <w:pPr>
        <w:pStyle w:val="Heading2"/>
        <w:pBdr>
          <w:bottom w:val="single" w:color="C9A227" w:sz="4"/>
        </w:pBdr>
        <w:spacing w:after="120" w:before="320"/>
      </w:pPr>
      <w:r>
        <w:rPr>
          <w:rFonts w:ascii="Georgia" w:cs="Georgia" w:eastAsia="Georgia" w:hAnsi="Georgia"/>
          <w:b/>
          <w:bCs/>
          <w:color w:val="0B3D26"/>
          <w:sz w:val="27"/>
          <w:szCs w:val="27"/>
        </w:rPr>
        <w:t xml:space="preserve">25. Peaceful Public Events</w:t>
      </w:r>
    </w:p>
    <w:p>
      <w:pPr>
        <w:spacing w:after="160"/>
        <w:jc w:val="left"/>
      </w:pPr>
      <w:r>
        <w:rPr>
          <w:rFonts w:ascii="Calibri" w:cs="Calibri" w:eastAsia="Calibri" w:hAnsi="Calibri"/>
          <w:b w:val="false"/>
          <w:bCs w:val="false"/>
          <w:i w:val="false"/>
          <w:iCs w:val="false"/>
          <w:color w:val="12241C"/>
          <w:sz w:val="21"/>
          <w:szCs w:val="21"/>
        </w:rPr>
        <w:t xml:space="preserve">Every gathering must have a lawful purpose, necessary permission, capacity plan, entry and exit controls, medical support, safeguarding arrangements, trained stewards and an emergency contact structure.</w:t>
      </w:r>
    </w:p>
    <w:p>
      <w:pPr>
        <w:pStyle w:val="Heading3"/>
        <w:spacing w:after="90" w:before="220"/>
      </w:pPr>
      <w:r>
        <w:rPr>
          <w:rFonts w:ascii="Georgia" w:cs="Georgia" w:eastAsia="Georgia" w:hAnsi="Georgia"/>
          <w:b/>
          <w:bCs/>
          <w:color w:val="0B3D26"/>
          <w:sz w:val="22"/>
          <w:szCs w:val="22"/>
        </w:rPr>
        <w:t xml:space="preserve">Before the event</w:t>
      </w:r>
    </w:p>
    <w:p>
      <w:pPr>
        <w:pStyle w:val="ListParagraph"/>
        <w:numPr>
          <w:ilvl w:val="0"/>
          <w:numId w:val="2"/>
        </w:numPr>
        <w:spacing w:after="90"/>
      </w:pPr>
      <w:r>
        <w:rPr>
          <w:rFonts w:ascii="Calibri" w:cs="Calibri" w:eastAsia="Calibri" w:hAnsi="Calibri"/>
          <w:b w:val="false"/>
          <w:bCs w:val="false"/>
          <w:color w:val="12241C"/>
          <w:sz w:val="21"/>
          <w:szCs w:val="21"/>
        </w:rPr>
        <w:t xml:space="preserve">Confirm legal permission, venue approval and liaison with relevant authorities.</w:t>
      </w:r>
    </w:p>
    <w:p>
      <w:pPr>
        <w:pStyle w:val="ListParagraph"/>
        <w:numPr>
          <w:ilvl w:val="0"/>
          <w:numId w:val="2"/>
        </w:numPr>
        <w:spacing w:after="90"/>
      </w:pPr>
      <w:r>
        <w:rPr>
          <w:rFonts w:ascii="Calibri" w:cs="Calibri" w:eastAsia="Calibri" w:hAnsi="Calibri"/>
          <w:b w:val="false"/>
          <w:bCs w:val="false"/>
          <w:color w:val="12241C"/>
          <w:sz w:val="21"/>
          <w:szCs w:val="21"/>
        </w:rPr>
        <w:t xml:space="preserve">Complete a written risk assessment and appoint a safety lead.</w:t>
      </w:r>
    </w:p>
    <w:p>
      <w:pPr>
        <w:pStyle w:val="ListParagraph"/>
        <w:numPr>
          <w:ilvl w:val="0"/>
          <w:numId w:val="2"/>
        </w:numPr>
        <w:spacing w:after="90"/>
      </w:pPr>
      <w:r>
        <w:rPr>
          <w:rFonts w:ascii="Calibri" w:cs="Calibri" w:eastAsia="Calibri" w:hAnsi="Calibri"/>
          <w:b w:val="false"/>
          <w:bCs w:val="false"/>
          <w:color w:val="12241C"/>
          <w:sz w:val="21"/>
          <w:szCs w:val="21"/>
        </w:rPr>
        <w:t xml:space="preserve">Brief all stewards on nonviolence, prohibited items and de-escalation.</w:t>
      </w:r>
    </w:p>
    <w:p>
      <w:pPr>
        <w:pStyle w:val="ListParagraph"/>
        <w:numPr>
          <w:ilvl w:val="0"/>
          <w:numId w:val="2"/>
        </w:numPr>
        <w:spacing w:after="90"/>
      </w:pPr>
      <w:r>
        <w:rPr>
          <w:rFonts w:ascii="Calibri" w:cs="Calibri" w:eastAsia="Calibri" w:hAnsi="Calibri"/>
          <w:b w:val="false"/>
          <w:bCs w:val="false"/>
          <w:color w:val="12241C"/>
          <w:sz w:val="21"/>
          <w:szCs w:val="21"/>
        </w:rPr>
        <w:t xml:space="preserve">Plan for medical events, fire, weather, crowd pressure, evacuation and missing persons.</w:t>
      </w:r>
    </w:p>
    <w:p>
      <w:pPr>
        <w:pStyle w:val="Heading3"/>
        <w:spacing w:after="90" w:before="220"/>
      </w:pPr>
      <w:r>
        <w:rPr>
          <w:rFonts w:ascii="Georgia" w:cs="Georgia" w:eastAsia="Georgia" w:hAnsi="Georgia"/>
          <w:b/>
          <w:bCs/>
          <w:color w:val="0B3D26"/>
          <w:sz w:val="22"/>
          <w:szCs w:val="22"/>
        </w:rPr>
        <w:t xml:space="preserve">During and after the event</w:t>
      </w:r>
    </w:p>
    <w:p>
      <w:pPr>
        <w:pStyle w:val="ListParagraph"/>
        <w:numPr>
          <w:ilvl w:val="0"/>
          <w:numId w:val="2"/>
        </w:numPr>
        <w:spacing w:after="90"/>
      </w:pPr>
      <w:r>
        <w:rPr>
          <w:rFonts w:ascii="Calibri" w:cs="Calibri" w:eastAsia="Calibri" w:hAnsi="Calibri"/>
          <w:b w:val="false"/>
          <w:bCs w:val="false"/>
          <w:color w:val="12241C"/>
          <w:sz w:val="21"/>
          <w:szCs w:val="21"/>
        </w:rPr>
        <w:t xml:space="preserve">Use identifiable trained stewards and a safe complaint/help desk.</w:t>
      </w:r>
    </w:p>
    <w:p>
      <w:pPr>
        <w:pStyle w:val="ListParagraph"/>
        <w:numPr>
          <w:ilvl w:val="0"/>
          <w:numId w:val="2"/>
        </w:numPr>
        <w:spacing w:after="90"/>
      </w:pPr>
      <w:r>
        <w:rPr>
          <w:rFonts w:ascii="Calibri" w:cs="Calibri" w:eastAsia="Calibri" w:hAnsi="Calibri"/>
          <w:b w:val="false"/>
          <w:bCs w:val="false"/>
          <w:color w:val="12241C"/>
          <w:sz w:val="21"/>
          <w:szCs w:val="21"/>
        </w:rPr>
        <w:t xml:space="preserve">Disengage from provocation; report threats or violence lawfully and do not retaliate.</w:t>
      </w:r>
    </w:p>
    <w:p>
      <w:pPr>
        <w:pStyle w:val="ListParagraph"/>
        <w:numPr>
          <w:ilvl w:val="0"/>
          <w:numId w:val="2"/>
        </w:numPr>
        <w:spacing w:after="90"/>
      </w:pPr>
      <w:r>
        <w:rPr>
          <w:rFonts w:ascii="Calibri" w:cs="Calibri" w:eastAsia="Calibri" w:hAnsi="Calibri"/>
          <w:b w:val="false"/>
          <w:bCs w:val="false"/>
          <w:color w:val="12241C"/>
          <w:sz w:val="21"/>
          <w:szCs w:val="21"/>
        </w:rPr>
        <w:t xml:space="preserve">Keep a concise record of incidents, medical assistance, complaints and expenditure.</w:t>
      </w:r>
    </w:p>
    <w:p>
      <w:pPr>
        <w:pStyle w:val="ListParagraph"/>
        <w:numPr>
          <w:ilvl w:val="0"/>
          <w:numId w:val="2"/>
        </w:numPr>
        <w:spacing w:after="90"/>
      </w:pPr>
      <w:r>
        <w:rPr>
          <w:rFonts w:ascii="Calibri" w:cs="Calibri" w:eastAsia="Calibri" w:hAnsi="Calibri"/>
          <w:b w:val="false"/>
          <w:bCs w:val="false"/>
          <w:color w:val="12241C"/>
          <w:sz w:val="21"/>
          <w:szCs w:val="21"/>
        </w:rPr>
        <w:t xml:space="preserve">Conduct a debrief within 72 hours and record corrective actions.</w:t>
      </w:r>
    </w:p>
    <w:p>
      <w:pPr>
        <w:pStyle w:val="Heading2"/>
        <w:pBdr>
          <w:bottom w:val="single" w:color="C9A227" w:sz="4"/>
        </w:pBdr>
        <w:spacing w:after="120" w:before="320"/>
      </w:pPr>
      <w:r>
        <w:rPr>
          <w:rFonts w:ascii="Georgia" w:cs="Georgia" w:eastAsia="Georgia" w:hAnsi="Georgia"/>
          <w:b/>
          <w:bCs/>
          <w:color w:val="0B3D26"/>
          <w:sz w:val="27"/>
          <w:szCs w:val="27"/>
        </w:rPr>
        <w:t xml:space="preserve">26. Engagement with Institutions and Political Actors</w:t>
      </w:r>
    </w:p>
    <w:p>
      <w:pPr>
        <w:pStyle w:val="ListParagraph"/>
        <w:numPr>
          <w:ilvl w:val="0"/>
          <w:numId w:val="2"/>
        </w:numPr>
        <w:spacing w:after="90"/>
      </w:pPr>
      <w:r>
        <w:rPr>
          <w:rFonts w:ascii="Calibri" w:cs="Calibri" w:eastAsia="Calibri" w:hAnsi="Calibri"/>
          <w:b w:val="false"/>
          <w:bCs w:val="false"/>
          <w:color w:val="12241C"/>
          <w:sz w:val="21"/>
          <w:szCs w:val="21"/>
        </w:rPr>
        <w:t xml:space="preserve">Engage every constitutional institution respectfully and through lawful channels.</w:t>
      </w:r>
    </w:p>
    <w:p>
      <w:pPr>
        <w:pStyle w:val="ListParagraph"/>
        <w:numPr>
          <w:ilvl w:val="0"/>
          <w:numId w:val="2"/>
        </w:numPr>
        <w:spacing w:after="90"/>
      </w:pPr>
      <w:r>
        <w:rPr>
          <w:rFonts w:ascii="Calibri" w:cs="Calibri" w:eastAsia="Calibri" w:hAnsi="Calibri"/>
          <w:b w:val="false"/>
          <w:bCs w:val="false"/>
          <w:color w:val="12241C"/>
          <w:sz w:val="21"/>
          <w:szCs w:val="21"/>
        </w:rPr>
        <w:t xml:space="preserve">Criticise an action, policy, result or legal position — not a person's family, ethnicity or private life.</w:t>
      </w:r>
    </w:p>
    <w:p>
      <w:pPr>
        <w:pStyle w:val="ListParagraph"/>
        <w:numPr>
          <w:ilvl w:val="0"/>
          <w:numId w:val="2"/>
        </w:numPr>
        <w:spacing w:after="90"/>
      </w:pPr>
      <w:r>
        <w:rPr>
          <w:rFonts w:ascii="Calibri" w:cs="Calibri" w:eastAsia="Calibri" w:hAnsi="Calibri"/>
          <w:b w:val="false"/>
          <w:bCs w:val="false"/>
          <w:color w:val="12241C"/>
          <w:sz w:val="21"/>
          <w:szCs w:val="21"/>
        </w:rPr>
        <w:t xml:space="preserve">Record substantive meetings, participants, declared interests and agreed follow-up.</w:t>
      </w:r>
    </w:p>
    <w:p>
      <w:pPr>
        <w:pStyle w:val="ListParagraph"/>
        <w:numPr>
          <w:ilvl w:val="0"/>
          <w:numId w:val="2"/>
        </w:numPr>
        <w:spacing w:after="90"/>
      </w:pPr>
      <w:r>
        <w:rPr>
          <w:rFonts w:ascii="Calibri" w:cs="Calibri" w:eastAsia="Calibri" w:hAnsi="Calibri"/>
          <w:b w:val="false"/>
          <w:bCs w:val="false"/>
          <w:color w:val="12241C"/>
          <w:sz w:val="21"/>
          <w:szCs w:val="21"/>
        </w:rPr>
        <w:t xml:space="preserve">Do not accept secret commitments, personal benefits or instructions outside PCP authority.</w:t>
      </w:r>
    </w:p>
    <w:p>
      <w:pPr>
        <w:pStyle w:val="ListParagraph"/>
        <w:numPr>
          <w:ilvl w:val="0"/>
          <w:numId w:val="2"/>
        </w:numPr>
        <w:spacing w:after="90"/>
      </w:pPr>
      <w:r>
        <w:rPr>
          <w:rFonts w:ascii="Calibri" w:cs="Calibri" w:eastAsia="Calibri" w:hAnsi="Calibri"/>
          <w:b w:val="false"/>
          <w:bCs w:val="false"/>
          <w:color w:val="12241C"/>
          <w:sz w:val="21"/>
          <w:szCs w:val="21"/>
        </w:rPr>
        <w:t xml:space="preserve">Publish appropriate summaries without disclosing protected, personal or legally confidential information.</w:t>
      </w:r>
    </w:p>
    <w:p>
      <w:pPr>
        <w:pStyle w:val="ListParagraph"/>
        <w:numPr>
          <w:ilvl w:val="0"/>
          <w:numId w:val="2"/>
        </w:numPr>
        <w:spacing w:after="90"/>
      </w:pPr>
      <w:r>
        <w:rPr>
          <w:rFonts w:ascii="Calibri" w:cs="Calibri" w:eastAsia="Calibri" w:hAnsi="Calibri"/>
          <w:b w:val="false"/>
          <w:bCs w:val="false"/>
          <w:color w:val="12241C"/>
          <w:sz w:val="21"/>
          <w:szCs w:val="21"/>
        </w:rPr>
        <w:t xml:space="preserve">Any alliance or electoral cooperation must be written, time-limited, principle-based and approved under PCP governance.</w:t>
      </w:r>
    </w:p>
    <w:p>
      <w:pPr>
        <w:pStyle w:val="Heading2"/>
        <w:pBdr>
          <w:bottom w:val="single" w:color="C9A227" w:sz="4"/>
        </w:pBdr>
        <w:spacing w:after="120" w:before="320"/>
      </w:pPr>
      <w:r>
        <w:rPr>
          <w:rFonts w:ascii="Georgia" w:cs="Georgia" w:eastAsia="Georgia" w:hAnsi="Georgia"/>
          <w:b/>
          <w:bCs/>
          <w:color w:val="0B3D26"/>
          <w:sz w:val="27"/>
          <w:szCs w:val="27"/>
        </w:rPr>
        <w:t xml:space="preserve">27. Crisis and Incident Response</w:t>
      </w:r>
    </w:p>
    <w:tbl>
      <w:tblPr>
        <w:tblW w:type="pct" w:w="100%"/>
        <w:tblBorders>
          <w:top w:val="single" w:color="CCCCCC" w:sz="2"/>
          <w:left w:val="single" w:color="CCCCCC" w:sz="2"/>
          <w:bottom w:val="single" w:color="CCCCCC" w:sz="2"/>
          <w:right w:val="single" w:color="CCCCCC" w:sz="2"/>
          <w:insideH w:val="single" w:color="E3DFD3" w:sz="2"/>
          <w:insideV w:val="single" w:color="E3DFD3" w:sz="2"/>
        </w:tblBorders>
      </w:tblPr>
      <w:tblGrid>
        <w:gridCol w:w="1600"/>
        <w:gridCol w:w="4200"/>
        <w:gridCol w:w="3550"/>
      </w:tblGrid>
      <w:tr>
        <w:trPr>
          <w:tblHeader/>
        </w:trPr>
        <w:tc>
          <w:tcPr>
            <w:tcW w:type="dxa" w:w="16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Level</w:t>
            </w:r>
          </w:p>
        </w:tc>
        <w:tc>
          <w:tcPr>
            <w:tcW w:type="dxa" w:w="42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Example</w:t>
            </w:r>
          </w:p>
        </w:tc>
        <w:tc>
          <w:tcPr>
            <w:tcW w:type="dxa" w:w="355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Required Response</w:t>
            </w:r>
          </w:p>
        </w:tc>
      </w:tr>
      <w:tr>
        <w:tc>
          <w:tcPr>
            <w:tcW w:type="dxa" w:w="1600"/>
            <w:shd w:fill="FFFFFF" w:val="clear"/>
            <w:tcMar>
              <w:top w:type="dxa" w:w="110"/>
              <w:left w:type="dxa" w:w="140"/>
              <w:bottom w:type="dxa" w:w="110"/>
              <w:right w:type="dxa" w:w="140"/>
            </w:tcMar>
          </w:tcPr>
          <w:p>
            <w:r>
              <w:rPr>
                <w:rFonts w:ascii="Calibri" w:cs="Calibri" w:eastAsia="Calibri" w:hAnsi="Calibri"/>
                <w:color w:val="12241C"/>
                <w:sz w:val="19"/>
                <w:szCs w:val="19"/>
              </w:rPr>
              <w:t xml:space="preserve">Level 1</w:t>
            </w:r>
          </w:p>
        </w:tc>
        <w:tc>
          <w:tcPr>
            <w:tcW w:type="dxa" w:w="4200"/>
            <w:shd w:fill="FFFFFF" w:val="clear"/>
            <w:tcMar>
              <w:top w:type="dxa" w:w="110"/>
              <w:left w:type="dxa" w:w="140"/>
              <w:bottom w:type="dxa" w:w="110"/>
              <w:right w:type="dxa" w:w="140"/>
            </w:tcMar>
          </w:tcPr>
          <w:p>
            <w:r>
              <w:rPr>
                <w:rFonts w:ascii="Calibri" w:cs="Calibri" w:eastAsia="Calibri" w:hAnsi="Calibri"/>
                <w:color w:val="12241C"/>
                <w:sz w:val="19"/>
                <w:szCs w:val="19"/>
              </w:rPr>
              <w:t xml:space="preserve">Minor correction, local complaint or operational delay</w:t>
            </w:r>
          </w:p>
        </w:tc>
        <w:tc>
          <w:tcPr>
            <w:tcW w:type="dxa" w:w="3550"/>
            <w:shd w:fill="FFFFFF" w:val="clear"/>
            <w:tcMar>
              <w:top w:type="dxa" w:w="110"/>
              <w:left w:type="dxa" w:w="140"/>
              <w:bottom w:type="dxa" w:w="110"/>
              <w:right w:type="dxa" w:w="140"/>
            </w:tcMar>
          </w:tcPr>
          <w:p>
            <w:r>
              <w:rPr>
                <w:rFonts w:ascii="Calibri" w:cs="Calibri" w:eastAsia="Calibri" w:hAnsi="Calibri"/>
                <w:color w:val="12241C"/>
                <w:sz w:val="19"/>
                <w:szCs w:val="19"/>
              </w:rPr>
              <w:t xml:space="preserve">Owner corrects, records and reports in routine review</w:t>
            </w:r>
          </w:p>
        </w:tc>
      </w:tr>
      <w:tr>
        <w:tc>
          <w:tcPr>
            <w:tcW w:type="dxa" w:w="1600"/>
            <w:shd w:fill="E7EFE9" w:val="clear"/>
            <w:tcMar>
              <w:top w:type="dxa" w:w="110"/>
              <w:left w:type="dxa" w:w="140"/>
              <w:bottom w:type="dxa" w:w="110"/>
              <w:right w:type="dxa" w:w="140"/>
            </w:tcMar>
          </w:tcPr>
          <w:p>
            <w:r>
              <w:rPr>
                <w:rFonts w:ascii="Calibri" w:cs="Calibri" w:eastAsia="Calibri" w:hAnsi="Calibri"/>
                <w:color w:val="12241C"/>
                <w:sz w:val="19"/>
                <w:szCs w:val="19"/>
              </w:rPr>
              <w:t xml:space="preserve">Level 2</w:t>
            </w:r>
          </w:p>
        </w:tc>
        <w:tc>
          <w:tcPr>
            <w:tcW w:type="dxa" w:w="4200"/>
            <w:shd w:fill="E7EFE9" w:val="clear"/>
            <w:tcMar>
              <w:top w:type="dxa" w:w="110"/>
              <w:left w:type="dxa" w:w="140"/>
              <w:bottom w:type="dxa" w:w="110"/>
              <w:right w:type="dxa" w:w="140"/>
            </w:tcMar>
          </w:tcPr>
          <w:p>
            <w:r>
              <w:rPr>
                <w:rFonts w:ascii="Calibri" w:cs="Calibri" w:eastAsia="Calibri" w:hAnsi="Calibri"/>
                <w:color w:val="12241C"/>
                <w:sz w:val="19"/>
                <w:szCs w:val="19"/>
              </w:rPr>
              <w:t xml:space="preserve">Serious allegation, account compromise, injury or financial irregularity</w:t>
            </w:r>
          </w:p>
        </w:tc>
        <w:tc>
          <w:tcPr>
            <w:tcW w:type="dxa" w:w="3550"/>
            <w:shd w:fill="E7EFE9" w:val="clear"/>
            <w:tcMar>
              <w:top w:type="dxa" w:w="110"/>
              <w:left w:type="dxa" w:w="140"/>
              <w:bottom w:type="dxa" w:w="110"/>
              <w:right w:type="dxa" w:w="140"/>
            </w:tcMar>
          </w:tcPr>
          <w:p>
            <w:r>
              <w:rPr>
                <w:rFonts w:ascii="Calibri" w:cs="Calibri" w:eastAsia="Calibri" w:hAnsi="Calibri"/>
                <w:color w:val="12241C"/>
                <w:sz w:val="19"/>
                <w:szCs w:val="19"/>
              </w:rPr>
              <w:t xml:space="preserve">Notify responsible lead, preserve evidence, suspend risky activity and investigate</w:t>
            </w:r>
          </w:p>
        </w:tc>
      </w:tr>
      <w:tr>
        <w:tc>
          <w:tcPr>
            <w:tcW w:type="dxa" w:w="1600"/>
            <w:shd w:fill="FFFFFF" w:val="clear"/>
            <w:tcMar>
              <w:top w:type="dxa" w:w="110"/>
              <w:left w:type="dxa" w:w="140"/>
              <w:bottom w:type="dxa" w:w="110"/>
              <w:right w:type="dxa" w:w="140"/>
            </w:tcMar>
          </w:tcPr>
          <w:p>
            <w:r>
              <w:rPr>
                <w:rFonts w:ascii="Calibri" w:cs="Calibri" w:eastAsia="Calibri" w:hAnsi="Calibri"/>
                <w:color w:val="12241C"/>
                <w:sz w:val="19"/>
                <w:szCs w:val="19"/>
              </w:rPr>
              <w:t xml:space="preserve">Level 3</w:t>
            </w:r>
          </w:p>
        </w:tc>
        <w:tc>
          <w:tcPr>
            <w:tcW w:type="dxa" w:w="4200"/>
            <w:shd w:fill="FFFFFF" w:val="clear"/>
            <w:tcMar>
              <w:top w:type="dxa" w:w="110"/>
              <w:left w:type="dxa" w:w="140"/>
              <w:bottom w:type="dxa" w:w="110"/>
              <w:right w:type="dxa" w:w="140"/>
            </w:tcMar>
          </w:tcPr>
          <w:p>
            <w:r>
              <w:rPr>
                <w:rFonts w:ascii="Calibri" w:cs="Calibri" w:eastAsia="Calibri" w:hAnsi="Calibri"/>
                <w:color w:val="12241C"/>
                <w:sz w:val="19"/>
                <w:szCs w:val="19"/>
              </w:rPr>
              <w:t xml:space="preserve">Threat to life, violence, major breach or unlawful activity</w:t>
            </w:r>
          </w:p>
        </w:tc>
        <w:tc>
          <w:tcPr>
            <w:tcW w:type="dxa" w:w="3550"/>
            <w:shd w:fill="FFFFFF" w:val="clear"/>
            <w:tcMar>
              <w:top w:type="dxa" w:w="110"/>
              <w:left w:type="dxa" w:w="140"/>
              <w:bottom w:type="dxa" w:w="110"/>
              <w:right w:type="dxa" w:w="140"/>
            </w:tcMar>
          </w:tcPr>
          <w:p>
            <w:r>
              <w:rPr>
                <w:rFonts w:ascii="Calibri" w:cs="Calibri" w:eastAsia="Calibri" w:hAnsi="Calibri"/>
                <w:color w:val="12241C"/>
                <w:sz w:val="19"/>
                <w:szCs w:val="19"/>
              </w:rPr>
              <w:t xml:space="preserve">Prioritise safety, contact competent authorities, activate crisis team and issue verified updates</w:t>
            </w:r>
          </w:p>
        </w:tc>
      </w:tr>
    </w:tbl>
    <w:p>
      <w:r>
        <w:br w:type="page"/>
      </w:r>
    </w:p>
    <w:tbl>
      <w:tblPr>
        <w:tblW w:type="pct" w:w="100%"/>
        <w:tblBorders>
          <w:top w:val="none"/>
          <w:left w:val="none"/>
          <w:bottom w:val="none"/>
          <w:right w:val="none"/>
          <w:insideH w:val="none"/>
          <w:insideV w:val="none"/>
        </w:tblBorders>
      </w:tblPr>
      <w:tblGrid>
        <w:gridCol w:w="100"/>
      </w:tblGrid>
      <w:tr>
        <w:tc>
          <w:tcPr>
            <w:shd w:fill="0B3D26" w:val="clear"/>
            <w:tcMar>
              <w:top w:type="dxa" w:w="260"/>
              <w:left w:type="dxa" w:w="260"/>
              <w:bottom w:type="dxa" w:w="260"/>
              <w:right w:type="dxa" w:w="260"/>
            </w:tcMar>
          </w:tcPr>
          <w:p>
            <w:pPr>
              <w:spacing w:after="60"/>
            </w:pPr>
            <w:r>
              <w:rPr>
                <w:rFonts w:ascii="Consolas" w:cs="Consolas" w:eastAsia="Consolas" w:hAnsi="Consolas"/>
                <w:b/>
                <w:bCs/>
                <w:color w:val="C9A227"/>
                <w:spacing w:val="20"/>
                <w:sz w:val="18"/>
                <w:szCs w:val="18"/>
              </w:rPr>
              <w:t xml:space="preserve">PART V</w:t>
            </w:r>
          </w:p>
          <w:p>
            <w:pPr>
              <w:pStyle w:val="Heading1"/>
              <w:spacing w:after="100"/>
            </w:pPr>
            <w:r>
              <w:rPr>
                <w:rFonts w:ascii="Georgia" w:cs="Georgia" w:eastAsia="Georgia" w:hAnsi="Georgia"/>
                <w:b/>
                <w:bCs/>
                <w:color w:val="FFFFFF"/>
                <w:sz w:val="40"/>
                <w:szCs w:val="40"/>
              </w:rPr>
              <w:t xml:space="preserve">Twelve-Month Launch Roadmap</w:t>
            </w:r>
          </w:p>
          <w:p>
            <w:r>
              <w:rPr>
                <w:rFonts w:ascii="Calibri" w:cs="Calibri" w:eastAsia="Calibri" w:hAnsi="Calibri"/>
                <w:color w:val="F6F1E4"/>
                <w:sz w:val="21"/>
                <w:szCs w:val="21"/>
              </w:rPr>
              <w:t xml:space="preserve">PCP should begin with a sound constitution, transparent team, limited priorities and verifiable public service.</w:t>
            </w:r>
          </w:p>
        </w:tc>
      </w:tr>
    </w:tbl>
    <w:p>
      <w:pPr>
        <w:spacing w:after="200"/>
      </w:pPr>
    </w:p>
    <w:p>
      <w:pPr>
        <w:pStyle w:val="Heading2"/>
        <w:pBdr>
          <w:bottom w:val="single" w:color="C9A227" w:sz="4"/>
        </w:pBdr>
        <w:spacing w:after="120" w:before="320"/>
      </w:pPr>
      <w:r>
        <w:rPr>
          <w:rFonts w:ascii="Georgia" w:cs="Georgia" w:eastAsia="Georgia" w:hAnsi="Georgia"/>
          <w:b/>
          <w:bCs/>
          <w:color w:val="0B3D26"/>
          <w:sz w:val="27"/>
          <w:szCs w:val="27"/>
        </w:rPr>
        <w:t xml:space="preserve">28. First Twelve Months</w:t>
      </w:r>
    </w:p>
    <w:tbl>
      <w:tblPr>
        <w:tblW w:type="pct" w:w="100%"/>
        <w:tblBorders>
          <w:top w:val="single" w:color="CCCCCC" w:sz="2"/>
          <w:left w:val="single" w:color="CCCCCC" w:sz="2"/>
          <w:bottom w:val="single" w:color="CCCCCC" w:sz="2"/>
          <w:right w:val="single" w:color="CCCCCC" w:sz="2"/>
          <w:insideH w:val="single" w:color="E3DFD3" w:sz="2"/>
          <w:insideV w:val="single" w:color="E3DFD3" w:sz="2"/>
        </w:tblBorders>
      </w:tblPr>
      <w:tblGrid>
        <w:gridCol w:w="2400"/>
        <w:gridCol w:w="1800"/>
        <w:gridCol w:w="5150"/>
      </w:tblGrid>
      <w:tr>
        <w:trPr>
          <w:tblHeader/>
        </w:trPr>
        <w:tc>
          <w:tcPr>
            <w:tcW w:type="dxa" w:w="24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Phase</w:t>
            </w:r>
          </w:p>
        </w:tc>
        <w:tc>
          <w:tcPr>
            <w:tcW w:type="dxa" w:w="18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Period</w:t>
            </w:r>
          </w:p>
        </w:tc>
        <w:tc>
          <w:tcPr>
            <w:tcW w:type="dxa" w:w="515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Required Results</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Foundation</w:t>
            </w:r>
          </w:p>
        </w:tc>
        <w:tc>
          <w:tcPr>
            <w:tcW w:type="dxa" w:w="1800"/>
            <w:shd w:fill="FFFFFF" w:val="clear"/>
            <w:tcMar>
              <w:top w:type="dxa" w:w="110"/>
              <w:left w:type="dxa" w:w="140"/>
              <w:bottom w:type="dxa" w:w="110"/>
              <w:right w:type="dxa" w:w="140"/>
            </w:tcMar>
          </w:tcPr>
          <w:p>
            <w:r>
              <w:rPr>
                <w:rFonts w:ascii="Calibri" w:cs="Calibri" w:eastAsia="Calibri" w:hAnsi="Calibri"/>
                <w:color w:val="12241C"/>
                <w:sz w:val="19"/>
                <w:szCs w:val="19"/>
              </w:rPr>
              <w:t xml:space="preserve">Months 1–2</w:t>
            </w:r>
          </w:p>
        </w:tc>
        <w:tc>
          <w:tcPr>
            <w:tcW w:type="dxa" w:w="5150"/>
            <w:shd w:fill="FFFFFF" w:val="clear"/>
            <w:tcMar>
              <w:top w:type="dxa" w:w="110"/>
              <w:left w:type="dxa" w:w="140"/>
              <w:bottom w:type="dxa" w:w="110"/>
              <w:right w:type="dxa" w:w="140"/>
            </w:tcMar>
          </w:tcPr>
          <w:p>
            <w:r>
              <w:rPr>
                <w:rFonts w:ascii="Calibri" w:cs="Calibri" w:eastAsia="Calibri" w:hAnsi="Calibri"/>
                <w:color w:val="12241C"/>
                <w:sz w:val="19"/>
                <w:szCs w:val="19"/>
              </w:rPr>
              <w:t xml:space="preserve">Legal/name review, interim constitution, core leadership, conflicts register, finance and data controls</w:t>
            </w:r>
          </w:p>
        </w:tc>
      </w:tr>
      <w:tr>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Public Consultation</w:t>
            </w:r>
          </w:p>
        </w:tc>
        <w:tc>
          <w:tcPr>
            <w:tcW w:type="dxa" w:w="1800"/>
            <w:shd w:fill="E7EFE9" w:val="clear"/>
            <w:tcMar>
              <w:top w:type="dxa" w:w="110"/>
              <w:left w:type="dxa" w:w="140"/>
              <w:bottom w:type="dxa" w:w="110"/>
              <w:right w:type="dxa" w:w="140"/>
            </w:tcMar>
          </w:tcPr>
          <w:p>
            <w:r>
              <w:rPr>
                <w:rFonts w:ascii="Calibri" w:cs="Calibri" w:eastAsia="Calibri" w:hAnsi="Calibri"/>
                <w:color w:val="12241C"/>
                <w:sz w:val="19"/>
                <w:szCs w:val="19"/>
              </w:rPr>
              <w:t xml:space="preserve">Months 3–4</w:t>
            </w:r>
          </w:p>
        </w:tc>
        <w:tc>
          <w:tcPr>
            <w:tcW w:type="dxa" w:w="5150"/>
            <w:shd w:fill="E7EFE9" w:val="clear"/>
            <w:tcMar>
              <w:top w:type="dxa" w:w="110"/>
              <w:left w:type="dxa" w:w="140"/>
              <w:bottom w:type="dxa" w:w="110"/>
              <w:right w:type="dxa" w:w="140"/>
            </w:tcMar>
          </w:tcPr>
          <w:p>
            <w:r>
              <w:rPr>
                <w:rFonts w:ascii="Calibri" w:cs="Calibri" w:eastAsia="Calibri" w:hAnsi="Calibri"/>
                <w:color w:val="12241C"/>
                <w:sz w:val="19"/>
                <w:szCs w:val="19"/>
              </w:rPr>
              <w:t xml:space="preserve">Open manifesto consultation, expert review and baseline briefs for five demands</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Pilot Chapters</w:t>
            </w:r>
          </w:p>
        </w:tc>
        <w:tc>
          <w:tcPr>
            <w:tcW w:type="dxa" w:w="1800"/>
            <w:shd w:fill="FFFFFF" w:val="clear"/>
            <w:tcMar>
              <w:top w:type="dxa" w:w="110"/>
              <w:left w:type="dxa" w:w="140"/>
              <w:bottom w:type="dxa" w:w="110"/>
              <w:right w:type="dxa" w:w="140"/>
            </w:tcMar>
          </w:tcPr>
          <w:p>
            <w:r>
              <w:rPr>
                <w:rFonts w:ascii="Calibri" w:cs="Calibri" w:eastAsia="Calibri" w:hAnsi="Calibri"/>
                <w:color w:val="12241C"/>
                <w:sz w:val="19"/>
                <w:szCs w:val="19"/>
              </w:rPr>
              <w:t xml:space="preserve">Months 5–6</w:t>
            </w:r>
          </w:p>
        </w:tc>
        <w:tc>
          <w:tcPr>
            <w:tcW w:type="dxa" w:w="5150"/>
            <w:shd w:fill="FFFFFF" w:val="clear"/>
            <w:tcMar>
              <w:top w:type="dxa" w:w="110"/>
              <w:left w:type="dxa" w:w="140"/>
              <w:bottom w:type="dxa" w:w="110"/>
              <w:right w:type="dxa" w:w="140"/>
            </w:tcMar>
          </w:tcPr>
          <w:p>
            <w:r>
              <w:rPr>
                <w:rFonts w:ascii="Calibri" w:cs="Calibri" w:eastAsia="Calibri" w:hAnsi="Calibri"/>
                <w:color w:val="12241C"/>
                <w:sz w:val="19"/>
                <w:szCs w:val="19"/>
              </w:rPr>
              <w:t xml:space="preserve">Limited trained chapters, civic-service pilot and first chapter finance report</w:t>
            </w:r>
          </w:p>
        </w:tc>
      </w:tr>
      <w:tr>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Policy &amp; Transparency</w:t>
            </w:r>
          </w:p>
        </w:tc>
        <w:tc>
          <w:tcPr>
            <w:tcW w:type="dxa" w:w="1800"/>
            <w:shd w:fill="E7EFE9" w:val="clear"/>
            <w:tcMar>
              <w:top w:type="dxa" w:w="110"/>
              <w:left w:type="dxa" w:w="140"/>
              <w:bottom w:type="dxa" w:w="110"/>
              <w:right w:type="dxa" w:w="140"/>
            </w:tcMar>
          </w:tcPr>
          <w:p>
            <w:r>
              <w:rPr>
                <w:rFonts w:ascii="Calibri" w:cs="Calibri" w:eastAsia="Calibri" w:hAnsi="Calibri"/>
                <w:color w:val="12241C"/>
                <w:sz w:val="19"/>
                <w:szCs w:val="19"/>
              </w:rPr>
              <w:t xml:space="preserve">Months 7–9</w:t>
            </w:r>
          </w:p>
        </w:tc>
        <w:tc>
          <w:tcPr>
            <w:tcW w:type="dxa" w:w="5150"/>
            <w:shd w:fill="E7EFE9" w:val="clear"/>
            <w:tcMar>
              <w:top w:type="dxa" w:w="110"/>
              <w:left w:type="dxa" w:w="140"/>
              <w:bottom w:type="dxa" w:w="110"/>
              <w:right w:type="dxa" w:w="140"/>
            </w:tcMar>
          </w:tcPr>
          <w:p>
            <w:r>
              <w:rPr>
                <w:rFonts w:ascii="Calibri" w:cs="Calibri" w:eastAsia="Calibri" w:hAnsi="Calibri"/>
                <w:color w:val="12241C"/>
                <w:sz w:val="19"/>
                <w:szCs w:val="19"/>
              </w:rPr>
              <w:t xml:space="preserve">Five evidence papers, public dashboard and first integrity report</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National Review</w:t>
            </w:r>
          </w:p>
        </w:tc>
        <w:tc>
          <w:tcPr>
            <w:tcW w:type="dxa" w:w="1800"/>
            <w:shd w:fill="FFFFFF" w:val="clear"/>
            <w:tcMar>
              <w:top w:type="dxa" w:w="110"/>
              <w:left w:type="dxa" w:w="140"/>
              <w:bottom w:type="dxa" w:w="110"/>
              <w:right w:type="dxa" w:w="140"/>
            </w:tcMar>
          </w:tcPr>
          <w:p>
            <w:r>
              <w:rPr>
                <w:rFonts w:ascii="Calibri" w:cs="Calibri" w:eastAsia="Calibri" w:hAnsi="Calibri"/>
                <w:color w:val="12241C"/>
                <w:sz w:val="19"/>
                <w:szCs w:val="19"/>
              </w:rPr>
              <w:t xml:space="preserve">Months 10–11</w:t>
            </w:r>
          </w:p>
        </w:tc>
        <w:tc>
          <w:tcPr>
            <w:tcW w:type="dxa" w:w="5150"/>
            <w:shd w:fill="FFFFFF" w:val="clear"/>
            <w:tcMar>
              <w:top w:type="dxa" w:w="110"/>
              <w:left w:type="dxa" w:w="140"/>
              <w:bottom w:type="dxa" w:w="110"/>
              <w:right w:type="dxa" w:w="140"/>
            </w:tcMar>
          </w:tcPr>
          <w:p>
            <w:r>
              <w:rPr>
                <w:rFonts w:ascii="Calibri" w:cs="Calibri" w:eastAsia="Calibri" w:hAnsi="Calibri"/>
                <w:color w:val="12241C"/>
                <w:sz w:val="19"/>
                <w:szCs w:val="19"/>
              </w:rPr>
              <w:t xml:space="preserve">Independent financial/ethical review, lessons and governance corrections</w:t>
            </w:r>
          </w:p>
        </w:tc>
      </w:tr>
      <w:tr>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Annual Convention</w:t>
            </w:r>
          </w:p>
        </w:tc>
        <w:tc>
          <w:tcPr>
            <w:tcW w:type="dxa" w:w="1800"/>
            <w:shd w:fill="E7EFE9" w:val="clear"/>
            <w:tcMar>
              <w:top w:type="dxa" w:w="110"/>
              <w:left w:type="dxa" w:w="140"/>
              <w:bottom w:type="dxa" w:w="110"/>
              <w:right w:type="dxa" w:w="140"/>
            </w:tcMar>
          </w:tcPr>
          <w:p>
            <w:r>
              <w:rPr>
                <w:rFonts w:ascii="Calibri" w:cs="Calibri" w:eastAsia="Calibri" w:hAnsi="Calibri"/>
                <w:color w:val="12241C"/>
                <w:sz w:val="19"/>
                <w:szCs w:val="19"/>
              </w:rPr>
              <w:t xml:space="preserve">Month 12</w:t>
            </w:r>
          </w:p>
        </w:tc>
        <w:tc>
          <w:tcPr>
            <w:tcW w:type="dxa" w:w="5150"/>
            <w:shd w:fill="E7EFE9" w:val="clear"/>
            <w:tcMar>
              <w:top w:type="dxa" w:w="110"/>
              <w:left w:type="dxa" w:w="140"/>
              <w:bottom w:type="dxa" w:w="110"/>
              <w:right w:type="dxa" w:w="140"/>
            </w:tcMar>
          </w:tcPr>
          <w:p>
            <w:r>
              <w:rPr>
                <w:rFonts w:ascii="Calibri" w:cs="Calibri" w:eastAsia="Calibri" w:hAnsi="Calibri"/>
                <w:color w:val="12241C"/>
                <w:sz w:val="19"/>
                <w:szCs w:val="19"/>
              </w:rPr>
              <w:t xml:space="preserve">Adopt revised manifesto, elect/confirm leadership and approve year-two plan</w:t>
            </w:r>
          </w:p>
        </w:tc>
      </w:tr>
    </w:tbl>
    <w:p>
      <w:pPr>
        <w:pStyle w:val="Heading2"/>
        <w:pBdr>
          <w:bottom w:val="single" w:color="C9A227" w:sz="4"/>
        </w:pBdr>
        <w:spacing w:after="120" w:before="320"/>
      </w:pPr>
      <w:r>
        <w:rPr>
          <w:rFonts w:ascii="Georgia" w:cs="Georgia" w:eastAsia="Georgia" w:hAnsi="Georgia"/>
          <w:b/>
          <w:bCs/>
          <w:color w:val="0B3D26"/>
          <w:sz w:val="27"/>
          <w:szCs w:val="27"/>
        </w:rPr>
        <w:t xml:space="preserve">29. Launch Gates</w:t>
      </w:r>
    </w:p>
    <w:p>
      <w:pPr>
        <w:pStyle w:val="ListParagraph"/>
        <w:numPr>
          <w:ilvl w:val="0"/>
          <w:numId w:val="2"/>
        </w:numPr>
        <w:spacing w:after="90"/>
      </w:pPr>
      <w:r>
        <w:rPr>
          <w:rFonts w:ascii="Calibri" w:cs="Calibri" w:eastAsia="Calibri" w:hAnsi="Calibri"/>
          <w:b w:val="false"/>
          <w:bCs w:val="false"/>
          <w:color w:val="12241C"/>
          <w:sz w:val="21"/>
          <w:szCs w:val="21"/>
        </w:rPr>
        <w:t xml:space="preserve">No public fundraising before a lawful account, treasurer, receipt process and donor rules exist.</w:t>
      </w:r>
    </w:p>
    <w:p>
      <w:pPr>
        <w:pStyle w:val="ListParagraph"/>
        <w:numPr>
          <w:ilvl w:val="0"/>
          <w:numId w:val="2"/>
        </w:numPr>
        <w:spacing w:after="90"/>
      </w:pPr>
      <w:r>
        <w:rPr>
          <w:rFonts w:ascii="Calibri" w:cs="Calibri" w:eastAsia="Calibri" w:hAnsi="Calibri"/>
          <w:b w:val="false"/>
          <w:bCs w:val="false"/>
          <w:color w:val="12241C"/>
          <w:sz w:val="21"/>
          <w:szCs w:val="21"/>
        </w:rPr>
        <w:t xml:space="preserve">No official chapter before training, verified officers, complaint contact and financial register.</w:t>
      </w:r>
    </w:p>
    <w:p>
      <w:pPr>
        <w:pStyle w:val="ListParagraph"/>
        <w:numPr>
          <w:ilvl w:val="0"/>
          <w:numId w:val="2"/>
        </w:numPr>
        <w:spacing w:after="90"/>
      </w:pPr>
      <w:r>
        <w:rPr>
          <w:rFonts w:ascii="Calibri" w:cs="Calibri" w:eastAsia="Calibri" w:hAnsi="Calibri"/>
          <w:b w:val="false"/>
          <w:bCs w:val="false"/>
          <w:color w:val="12241C"/>
          <w:sz w:val="21"/>
          <w:szCs w:val="21"/>
        </w:rPr>
        <w:t xml:space="preserve">No major policy launch before evidence, costing, legal review and peer review.</w:t>
      </w:r>
    </w:p>
    <w:p>
      <w:pPr>
        <w:pStyle w:val="ListParagraph"/>
        <w:numPr>
          <w:ilvl w:val="0"/>
          <w:numId w:val="2"/>
        </w:numPr>
        <w:spacing w:after="90"/>
      </w:pPr>
      <w:r>
        <w:rPr>
          <w:rFonts w:ascii="Calibri" w:cs="Calibri" w:eastAsia="Calibri" w:hAnsi="Calibri"/>
          <w:b w:val="false"/>
          <w:bCs w:val="false"/>
          <w:color w:val="12241C"/>
          <w:sz w:val="21"/>
          <w:szCs w:val="21"/>
        </w:rPr>
        <w:t xml:space="preserve">No large public event before permission, risk assessment, stewards and emergency planning.</w:t>
      </w:r>
    </w:p>
    <w:p>
      <w:pPr>
        <w:pStyle w:val="ListParagraph"/>
        <w:numPr>
          <w:ilvl w:val="0"/>
          <w:numId w:val="2"/>
        </w:numPr>
        <w:spacing w:after="90"/>
      </w:pPr>
      <w:r>
        <w:rPr>
          <w:rFonts w:ascii="Calibri" w:cs="Calibri" w:eastAsia="Calibri" w:hAnsi="Calibri"/>
          <w:b w:val="false"/>
          <w:bCs w:val="false"/>
          <w:color w:val="12241C"/>
          <w:sz w:val="21"/>
          <w:szCs w:val="21"/>
        </w:rPr>
        <w:t xml:space="preserve">No electoral commitment before independent legal review and formal PCP approval.</w:t>
      </w:r>
    </w:p>
    <w:p>
      <w:pPr>
        <w:pStyle w:val="Heading2"/>
        <w:pBdr>
          <w:bottom w:val="single" w:color="C9A227" w:sz="4"/>
        </w:pBdr>
        <w:spacing w:after="120" w:before="320"/>
      </w:pPr>
      <w:r>
        <w:rPr>
          <w:rFonts w:ascii="Georgia" w:cs="Georgia" w:eastAsia="Georgia" w:hAnsi="Georgia"/>
          <w:b/>
          <w:bCs/>
          <w:color w:val="0B3D26"/>
          <w:sz w:val="27"/>
          <w:szCs w:val="27"/>
        </w:rPr>
        <w:t xml:space="preserve">30. Monthly Public Dashboard</w:t>
      </w:r>
    </w:p>
    <w:tbl>
      <w:tblPr>
        <w:tblW w:type="pct" w:w="100%"/>
        <w:tblBorders>
          <w:top w:val="single" w:color="CCCCCC" w:sz="2"/>
          <w:left w:val="single" w:color="CCCCCC" w:sz="2"/>
          <w:bottom w:val="single" w:color="CCCCCC" w:sz="2"/>
          <w:right w:val="single" w:color="CCCCCC" w:sz="2"/>
          <w:insideH w:val="single" w:color="E3DFD3" w:sz="2"/>
          <w:insideV w:val="single" w:color="E3DFD3" w:sz="2"/>
        </w:tblBorders>
      </w:tblPr>
      <w:tblGrid>
        <w:gridCol w:w="2100"/>
        <w:gridCol w:w="4650"/>
        <w:gridCol w:w="2600"/>
      </w:tblGrid>
      <w:tr>
        <w:trPr>
          <w:tblHeader/>
        </w:trPr>
        <w:tc>
          <w:tcPr>
            <w:tcW w:type="dxa" w:w="21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Area</w:t>
            </w:r>
          </w:p>
        </w:tc>
        <w:tc>
          <w:tcPr>
            <w:tcW w:type="dxa" w:w="465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Indicator</w:t>
            </w:r>
          </w:p>
        </w:tc>
        <w:tc>
          <w:tcPr>
            <w:tcW w:type="dxa" w:w="26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Reporting Standard</w:t>
            </w:r>
          </w:p>
        </w:tc>
      </w:tr>
      <w:tr>
        <w:tc>
          <w:tcPr>
            <w:tcW w:type="dxa" w:w="2100"/>
            <w:shd w:fill="FFFFFF" w:val="clear"/>
            <w:tcMar>
              <w:top w:type="dxa" w:w="110"/>
              <w:left w:type="dxa" w:w="140"/>
              <w:bottom w:type="dxa" w:w="110"/>
              <w:right w:type="dxa" w:w="140"/>
            </w:tcMar>
          </w:tcPr>
          <w:p>
            <w:r>
              <w:rPr>
                <w:rFonts w:ascii="Calibri" w:cs="Calibri" w:eastAsia="Calibri" w:hAnsi="Calibri"/>
                <w:color w:val="12241C"/>
                <w:sz w:val="19"/>
                <w:szCs w:val="19"/>
              </w:rPr>
              <w:t xml:space="preserve">Membership</w:t>
            </w:r>
          </w:p>
        </w:tc>
        <w:tc>
          <w:tcPr>
            <w:tcW w:type="dxa" w:w="4650"/>
            <w:shd w:fill="FFFFFF" w:val="clear"/>
            <w:tcMar>
              <w:top w:type="dxa" w:w="110"/>
              <w:left w:type="dxa" w:w="140"/>
              <w:bottom w:type="dxa" w:w="110"/>
              <w:right w:type="dxa" w:w="140"/>
            </w:tcMar>
          </w:tcPr>
          <w:p>
            <w:r>
              <w:rPr>
                <w:rFonts w:ascii="Calibri" w:cs="Calibri" w:eastAsia="Calibri" w:hAnsi="Calibri"/>
                <w:color w:val="12241C"/>
                <w:sz w:val="19"/>
                <w:szCs w:val="19"/>
              </w:rPr>
              <w:t xml:space="preserve">Verified active members; consent withdrawals; training completion</w:t>
            </w:r>
          </w:p>
        </w:tc>
        <w:tc>
          <w:tcPr>
            <w:tcW w:type="dxa" w:w="2600"/>
            <w:shd w:fill="FFFFFF" w:val="clear"/>
            <w:tcMar>
              <w:top w:type="dxa" w:w="110"/>
              <w:left w:type="dxa" w:w="140"/>
              <w:bottom w:type="dxa" w:w="110"/>
              <w:right w:type="dxa" w:w="140"/>
            </w:tcMar>
          </w:tcPr>
          <w:p>
            <w:r>
              <w:rPr>
                <w:rFonts w:ascii="Calibri" w:cs="Calibri" w:eastAsia="Calibri" w:hAnsi="Calibri"/>
                <w:color w:val="12241C"/>
                <w:sz w:val="19"/>
                <w:szCs w:val="19"/>
              </w:rPr>
              <w:t xml:space="preserve">Monthly internal, quarterly public summary</w:t>
            </w:r>
          </w:p>
        </w:tc>
      </w:tr>
      <w:tr>
        <w:tc>
          <w:tcPr>
            <w:tcW w:type="dxa" w:w="2100"/>
            <w:shd w:fill="E7EFE9" w:val="clear"/>
            <w:tcMar>
              <w:top w:type="dxa" w:w="110"/>
              <w:left w:type="dxa" w:w="140"/>
              <w:bottom w:type="dxa" w:w="110"/>
              <w:right w:type="dxa" w:w="140"/>
            </w:tcMar>
          </w:tcPr>
          <w:p>
            <w:r>
              <w:rPr>
                <w:rFonts w:ascii="Calibri" w:cs="Calibri" w:eastAsia="Calibri" w:hAnsi="Calibri"/>
                <w:color w:val="12241C"/>
                <w:sz w:val="19"/>
                <w:szCs w:val="19"/>
              </w:rPr>
              <w:t xml:space="preserve">Chapters</w:t>
            </w:r>
          </w:p>
        </w:tc>
        <w:tc>
          <w:tcPr>
            <w:tcW w:type="dxa" w:w="4650"/>
            <w:shd w:fill="E7EFE9" w:val="clear"/>
            <w:tcMar>
              <w:top w:type="dxa" w:w="110"/>
              <w:left w:type="dxa" w:w="140"/>
              <w:bottom w:type="dxa" w:w="110"/>
              <w:right w:type="dxa" w:w="140"/>
            </w:tcMar>
          </w:tcPr>
          <w:p>
            <w:r>
              <w:rPr>
                <w:rFonts w:ascii="Calibri" w:cs="Calibri" w:eastAsia="Calibri" w:hAnsi="Calibri"/>
                <w:color w:val="12241C"/>
                <w:sz w:val="19"/>
                <w:szCs w:val="19"/>
              </w:rPr>
              <w:t xml:space="preserve">Provisional, chartered, suspended and reporting on time</w:t>
            </w:r>
          </w:p>
        </w:tc>
        <w:tc>
          <w:tcPr>
            <w:tcW w:type="dxa" w:w="2600"/>
            <w:shd w:fill="E7EFE9" w:val="clear"/>
            <w:tcMar>
              <w:top w:type="dxa" w:w="110"/>
              <w:left w:type="dxa" w:w="140"/>
              <w:bottom w:type="dxa" w:w="110"/>
              <w:right w:type="dxa" w:w="140"/>
            </w:tcMar>
          </w:tcPr>
          <w:p>
            <w:r>
              <w:rPr>
                <w:rFonts w:ascii="Calibri" w:cs="Calibri" w:eastAsia="Calibri" w:hAnsi="Calibri"/>
                <w:color w:val="12241C"/>
                <w:sz w:val="19"/>
                <w:szCs w:val="19"/>
              </w:rPr>
              <w:t xml:space="preserve">Quarterly</w:t>
            </w:r>
          </w:p>
        </w:tc>
      </w:tr>
      <w:tr>
        <w:tc>
          <w:tcPr>
            <w:tcW w:type="dxa" w:w="2100"/>
            <w:shd w:fill="FFFFFF" w:val="clear"/>
            <w:tcMar>
              <w:top w:type="dxa" w:w="110"/>
              <w:left w:type="dxa" w:w="140"/>
              <w:bottom w:type="dxa" w:w="110"/>
              <w:right w:type="dxa" w:w="140"/>
            </w:tcMar>
          </w:tcPr>
          <w:p>
            <w:r>
              <w:rPr>
                <w:rFonts w:ascii="Calibri" w:cs="Calibri" w:eastAsia="Calibri" w:hAnsi="Calibri"/>
                <w:color w:val="12241C"/>
                <w:sz w:val="19"/>
                <w:szCs w:val="19"/>
              </w:rPr>
              <w:t xml:space="preserve">Policy</w:t>
            </w:r>
          </w:p>
        </w:tc>
        <w:tc>
          <w:tcPr>
            <w:tcW w:type="dxa" w:w="4650"/>
            <w:shd w:fill="FFFFFF" w:val="clear"/>
            <w:tcMar>
              <w:top w:type="dxa" w:w="110"/>
              <w:left w:type="dxa" w:w="140"/>
              <w:bottom w:type="dxa" w:w="110"/>
              <w:right w:type="dxa" w:w="140"/>
            </w:tcMar>
          </w:tcPr>
          <w:p>
            <w:r>
              <w:rPr>
                <w:rFonts w:ascii="Calibri" w:cs="Calibri" w:eastAsia="Calibri" w:hAnsi="Calibri"/>
                <w:color w:val="12241C"/>
                <w:sz w:val="19"/>
                <w:szCs w:val="19"/>
              </w:rPr>
              <w:t xml:space="preserve">Briefs drafted, reviewed, costed and published</w:t>
            </w:r>
          </w:p>
        </w:tc>
        <w:tc>
          <w:tcPr>
            <w:tcW w:type="dxa" w:w="2600"/>
            <w:shd w:fill="FFFFFF" w:val="clear"/>
            <w:tcMar>
              <w:top w:type="dxa" w:w="110"/>
              <w:left w:type="dxa" w:w="140"/>
              <w:bottom w:type="dxa" w:w="110"/>
              <w:right w:type="dxa" w:w="140"/>
            </w:tcMar>
          </w:tcPr>
          <w:p>
            <w:r>
              <w:rPr>
                <w:rFonts w:ascii="Calibri" w:cs="Calibri" w:eastAsia="Calibri" w:hAnsi="Calibri"/>
                <w:color w:val="12241C"/>
                <w:sz w:val="19"/>
                <w:szCs w:val="19"/>
              </w:rPr>
              <w:t xml:space="preserve">Monthly status</w:t>
            </w:r>
          </w:p>
        </w:tc>
      </w:tr>
      <w:tr>
        <w:tc>
          <w:tcPr>
            <w:tcW w:type="dxa" w:w="2100"/>
            <w:shd w:fill="E7EFE9" w:val="clear"/>
            <w:tcMar>
              <w:top w:type="dxa" w:w="110"/>
              <w:left w:type="dxa" w:w="140"/>
              <w:bottom w:type="dxa" w:w="110"/>
              <w:right w:type="dxa" w:w="140"/>
            </w:tcMar>
          </w:tcPr>
          <w:p>
            <w:r>
              <w:rPr>
                <w:rFonts w:ascii="Calibri" w:cs="Calibri" w:eastAsia="Calibri" w:hAnsi="Calibri"/>
                <w:color w:val="12241C"/>
                <w:sz w:val="19"/>
                <w:szCs w:val="19"/>
              </w:rPr>
              <w:t xml:space="preserve">Service</w:t>
            </w:r>
          </w:p>
        </w:tc>
        <w:tc>
          <w:tcPr>
            <w:tcW w:type="dxa" w:w="4650"/>
            <w:shd w:fill="E7EFE9" w:val="clear"/>
            <w:tcMar>
              <w:top w:type="dxa" w:w="110"/>
              <w:left w:type="dxa" w:w="140"/>
              <w:bottom w:type="dxa" w:w="110"/>
              <w:right w:type="dxa" w:w="140"/>
            </w:tcMar>
          </w:tcPr>
          <w:p>
            <w:r>
              <w:rPr>
                <w:rFonts w:ascii="Calibri" w:cs="Calibri" w:eastAsia="Calibri" w:hAnsi="Calibri"/>
                <w:color w:val="12241C"/>
                <w:sz w:val="19"/>
                <w:szCs w:val="19"/>
              </w:rPr>
              <w:t xml:space="preserve">Projects, beneficiaries, cost and independently verifiable result</w:t>
            </w:r>
          </w:p>
        </w:tc>
        <w:tc>
          <w:tcPr>
            <w:tcW w:type="dxa" w:w="2600"/>
            <w:shd w:fill="E7EFE9" w:val="clear"/>
            <w:tcMar>
              <w:top w:type="dxa" w:w="110"/>
              <w:left w:type="dxa" w:w="140"/>
              <w:bottom w:type="dxa" w:w="110"/>
              <w:right w:type="dxa" w:w="140"/>
            </w:tcMar>
          </w:tcPr>
          <w:p>
            <w:r>
              <w:rPr>
                <w:rFonts w:ascii="Calibri" w:cs="Calibri" w:eastAsia="Calibri" w:hAnsi="Calibri"/>
                <w:color w:val="12241C"/>
                <w:sz w:val="19"/>
                <w:szCs w:val="19"/>
              </w:rPr>
              <w:t xml:space="preserve">Quarterly</w:t>
            </w:r>
          </w:p>
        </w:tc>
      </w:tr>
      <w:tr>
        <w:tc>
          <w:tcPr>
            <w:tcW w:type="dxa" w:w="2100"/>
            <w:shd w:fill="FFFFFF" w:val="clear"/>
            <w:tcMar>
              <w:top w:type="dxa" w:w="110"/>
              <w:left w:type="dxa" w:w="140"/>
              <w:bottom w:type="dxa" w:w="110"/>
              <w:right w:type="dxa" w:w="140"/>
            </w:tcMar>
          </w:tcPr>
          <w:p>
            <w:r>
              <w:rPr>
                <w:rFonts w:ascii="Calibri" w:cs="Calibri" w:eastAsia="Calibri" w:hAnsi="Calibri"/>
                <w:color w:val="12241C"/>
                <w:sz w:val="19"/>
                <w:szCs w:val="19"/>
              </w:rPr>
              <w:t xml:space="preserve">Finance</w:t>
            </w:r>
          </w:p>
        </w:tc>
        <w:tc>
          <w:tcPr>
            <w:tcW w:type="dxa" w:w="4650"/>
            <w:shd w:fill="FFFFFF" w:val="clear"/>
            <w:tcMar>
              <w:top w:type="dxa" w:w="110"/>
              <w:left w:type="dxa" w:w="140"/>
              <w:bottom w:type="dxa" w:w="110"/>
              <w:right w:type="dxa" w:w="140"/>
            </w:tcMar>
          </w:tcPr>
          <w:p>
            <w:r>
              <w:rPr>
                <w:rFonts w:ascii="Calibri" w:cs="Calibri" w:eastAsia="Calibri" w:hAnsi="Calibri"/>
                <w:color w:val="12241C"/>
                <w:sz w:val="19"/>
                <w:szCs w:val="19"/>
              </w:rPr>
              <w:t xml:space="preserve">Income, expenditure, donor concentration and budget variance</w:t>
            </w:r>
          </w:p>
        </w:tc>
        <w:tc>
          <w:tcPr>
            <w:tcW w:type="dxa" w:w="2600"/>
            <w:shd w:fill="FFFFFF" w:val="clear"/>
            <w:tcMar>
              <w:top w:type="dxa" w:w="110"/>
              <w:left w:type="dxa" w:w="140"/>
              <w:bottom w:type="dxa" w:w="110"/>
              <w:right w:type="dxa" w:w="140"/>
            </w:tcMar>
          </w:tcPr>
          <w:p>
            <w:r>
              <w:rPr>
                <w:rFonts w:ascii="Calibri" w:cs="Calibri" w:eastAsia="Calibri" w:hAnsi="Calibri"/>
                <w:color w:val="12241C"/>
                <w:sz w:val="19"/>
                <w:szCs w:val="19"/>
              </w:rPr>
              <w:t xml:space="preserve">Quarterly; annual audit</w:t>
            </w:r>
          </w:p>
        </w:tc>
      </w:tr>
      <w:tr>
        <w:tc>
          <w:tcPr>
            <w:tcW w:type="dxa" w:w="2100"/>
            <w:shd w:fill="E7EFE9" w:val="clear"/>
            <w:tcMar>
              <w:top w:type="dxa" w:w="110"/>
              <w:left w:type="dxa" w:w="140"/>
              <w:bottom w:type="dxa" w:w="110"/>
              <w:right w:type="dxa" w:w="140"/>
            </w:tcMar>
          </w:tcPr>
          <w:p>
            <w:r>
              <w:rPr>
                <w:rFonts w:ascii="Calibri" w:cs="Calibri" w:eastAsia="Calibri" w:hAnsi="Calibri"/>
                <w:color w:val="12241C"/>
                <w:sz w:val="19"/>
                <w:szCs w:val="19"/>
              </w:rPr>
              <w:t xml:space="preserve">Integrity</w:t>
            </w:r>
          </w:p>
        </w:tc>
        <w:tc>
          <w:tcPr>
            <w:tcW w:type="dxa" w:w="4650"/>
            <w:shd w:fill="E7EFE9" w:val="clear"/>
            <w:tcMar>
              <w:top w:type="dxa" w:w="110"/>
              <w:left w:type="dxa" w:w="140"/>
              <w:bottom w:type="dxa" w:w="110"/>
              <w:right w:type="dxa" w:w="140"/>
            </w:tcMar>
          </w:tcPr>
          <w:p>
            <w:r>
              <w:rPr>
                <w:rFonts w:ascii="Calibri" w:cs="Calibri" w:eastAsia="Calibri" w:hAnsi="Calibri"/>
                <w:color w:val="12241C"/>
                <w:sz w:val="19"/>
                <w:szCs w:val="19"/>
              </w:rPr>
              <w:t xml:space="preserve">Complaints, age, category, outcome and appeals</w:t>
            </w:r>
          </w:p>
        </w:tc>
        <w:tc>
          <w:tcPr>
            <w:tcW w:type="dxa" w:w="2600"/>
            <w:shd w:fill="E7EFE9" w:val="clear"/>
            <w:tcMar>
              <w:top w:type="dxa" w:w="110"/>
              <w:left w:type="dxa" w:w="140"/>
              <w:bottom w:type="dxa" w:w="110"/>
              <w:right w:type="dxa" w:w="140"/>
            </w:tcMar>
          </w:tcPr>
          <w:p>
            <w:r>
              <w:rPr>
                <w:rFonts w:ascii="Calibri" w:cs="Calibri" w:eastAsia="Calibri" w:hAnsi="Calibri"/>
                <w:color w:val="12241C"/>
                <w:sz w:val="19"/>
                <w:szCs w:val="19"/>
              </w:rPr>
              <w:t xml:space="preserve">Quarterly anonymised summary</w:t>
            </w:r>
          </w:p>
        </w:tc>
      </w:tr>
      <w:tr>
        <w:tc>
          <w:tcPr>
            <w:tcW w:type="dxa" w:w="2100"/>
            <w:shd w:fill="FFFFFF" w:val="clear"/>
            <w:tcMar>
              <w:top w:type="dxa" w:w="110"/>
              <w:left w:type="dxa" w:w="140"/>
              <w:bottom w:type="dxa" w:w="110"/>
              <w:right w:type="dxa" w:w="140"/>
            </w:tcMar>
          </w:tcPr>
          <w:p>
            <w:r>
              <w:rPr>
                <w:rFonts w:ascii="Calibri" w:cs="Calibri" w:eastAsia="Calibri" w:hAnsi="Calibri"/>
                <w:color w:val="12241C"/>
                <w:sz w:val="19"/>
                <w:szCs w:val="19"/>
              </w:rPr>
              <w:t xml:space="preserve">Communication</w:t>
            </w:r>
          </w:p>
        </w:tc>
        <w:tc>
          <w:tcPr>
            <w:tcW w:type="dxa" w:w="4650"/>
            <w:shd w:fill="FFFFFF" w:val="clear"/>
            <w:tcMar>
              <w:top w:type="dxa" w:w="110"/>
              <w:left w:type="dxa" w:w="140"/>
              <w:bottom w:type="dxa" w:w="110"/>
              <w:right w:type="dxa" w:w="140"/>
            </w:tcMar>
          </w:tcPr>
          <w:p>
            <w:r>
              <w:rPr>
                <w:rFonts w:ascii="Calibri" w:cs="Calibri" w:eastAsia="Calibri" w:hAnsi="Calibri"/>
                <w:color w:val="12241C"/>
                <w:sz w:val="19"/>
                <w:szCs w:val="19"/>
              </w:rPr>
              <w:t xml:space="preserve">Corrections, source compliance and account-security incidents</w:t>
            </w:r>
          </w:p>
        </w:tc>
        <w:tc>
          <w:tcPr>
            <w:tcW w:type="dxa" w:w="2600"/>
            <w:shd w:fill="FFFFFF" w:val="clear"/>
            <w:tcMar>
              <w:top w:type="dxa" w:w="110"/>
              <w:left w:type="dxa" w:w="140"/>
              <w:bottom w:type="dxa" w:w="110"/>
              <w:right w:type="dxa" w:w="140"/>
            </w:tcMar>
          </w:tcPr>
          <w:p>
            <w:r>
              <w:rPr>
                <w:rFonts w:ascii="Calibri" w:cs="Calibri" w:eastAsia="Calibri" w:hAnsi="Calibri"/>
                <w:color w:val="12241C"/>
                <w:sz w:val="19"/>
                <w:szCs w:val="19"/>
              </w:rPr>
              <w:t xml:space="preserve">Monthly internal, quarterly summary</w:t>
            </w:r>
          </w:p>
        </w:tc>
      </w:tr>
    </w:tbl>
    <w:p>
      <w:pPr>
        <w:pStyle w:val="Heading2"/>
        <w:pBdr>
          <w:bottom w:val="single" w:color="C9A227" w:sz="4"/>
        </w:pBdr>
        <w:spacing w:after="120" w:before="320"/>
      </w:pPr>
      <w:r>
        <w:rPr>
          <w:rFonts w:ascii="Georgia" w:cs="Georgia" w:eastAsia="Georgia" w:hAnsi="Georgia"/>
          <w:b/>
          <w:bCs/>
          <w:color w:val="0B3D26"/>
          <w:sz w:val="27"/>
          <w:szCs w:val="27"/>
        </w:rPr>
        <w:t xml:space="preserve">31. What Success Looks Like After One Year</w:t>
      </w:r>
    </w:p>
    <w:p>
      <w:pPr>
        <w:pStyle w:val="ListParagraph"/>
        <w:numPr>
          <w:ilvl w:val="0"/>
          <w:numId w:val="2"/>
        </w:numPr>
        <w:spacing w:after="90"/>
      </w:pPr>
      <w:r>
        <w:rPr>
          <w:rFonts w:ascii="Calibri" w:cs="Calibri" w:eastAsia="Calibri" w:hAnsi="Calibri"/>
          <w:b w:val="false"/>
          <w:bCs w:val="false"/>
          <w:color w:val="12241C"/>
          <w:sz w:val="21"/>
          <w:szCs w:val="21"/>
        </w:rPr>
        <w:t xml:space="preserve">A legally reviewed constitution and adopted English/Urdu manifesto.</w:t>
      </w:r>
    </w:p>
    <w:p>
      <w:pPr>
        <w:pStyle w:val="ListParagraph"/>
        <w:numPr>
          <w:ilvl w:val="0"/>
          <w:numId w:val="2"/>
        </w:numPr>
        <w:spacing w:after="90"/>
      </w:pPr>
      <w:r>
        <w:rPr>
          <w:rFonts w:ascii="Calibri" w:cs="Calibri" w:eastAsia="Calibri" w:hAnsi="Calibri"/>
          <w:b w:val="false"/>
          <w:bCs w:val="false"/>
          <w:color w:val="12241C"/>
          <w:sz w:val="21"/>
          <w:szCs w:val="21"/>
        </w:rPr>
        <w:t xml:space="preserve">A small, competent and publicly accountable leadership team with fixed terms.</w:t>
      </w:r>
    </w:p>
    <w:p>
      <w:pPr>
        <w:pStyle w:val="ListParagraph"/>
        <w:numPr>
          <w:ilvl w:val="0"/>
          <w:numId w:val="2"/>
        </w:numPr>
        <w:spacing w:after="90"/>
      </w:pPr>
      <w:r>
        <w:rPr>
          <w:rFonts w:ascii="Calibri" w:cs="Calibri" w:eastAsia="Calibri" w:hAnsi="Calibri"/>
          <w:b w:val="false"/>
          <w:bCs w:val="false"/>
          <w:color w:val="12241C"/>
          <w:sz w:val="21"/>
          <w:szCs w:val="21"/>
        </w:rPr>
        <w:t xml:space="preserve">Five costed and peer-reviewed national policy papers.</w:t>
      </w:r>
    </w:p>
    <w:p>
      <w:pPr>
        <w:pStyle w:val="ListParagraph"/>
        <w:numPr>
          <w:ilvl w:val="0"/>
          <w:numId w:val="2"/>
        </w:numPr>
        <w:spacing w:after="90"/>
      </w:pPr>
      <w:r>
        <w:rPr>
          <w:rFonts w:ascii="Calibri" w:cs="Calibri" w:eastAsia="Calibri" w:hAnsi="Calibri"/>
          <w:b w:val="false"/>
          <w:bCs w:val="false"/>
          <w:color w:val="12241C"/>
          <w:sz w:val="21"/>
          <w:szCs w:val="21"/>
        </w:rPr>
        <w:t xml:space="preserve">Pilot chapters that publish activity and financial reports on time.</w:t>
      </w:r>
    </w:p>
    <w:p>
      <w:pPr>
        <w:pStyle w:val="ListParagraph"/>
        <w:numPr>
          <w:ilvl w:val="0"/>
          <w:numId w:val="2"/>
        </w:numPr>
        <w:spacing w:after="90"/>
      </w:pPr>
      <w:r>
        <w:rPr>
          <w:rFonts w:ascii="Calibri" w:cs="Calibri" w:eastAsia="Calibri" w:hAnsi="Calibri"/>
          <w:b w:val="false"/>
          <w:bCs w:val="false"/>
          <w:color w:val="12241C"/>
          <w:sz w:val="21"/>
          <w:szCs w:val="21"/>
        </w:rPr>
        <w:t xml:space="preserve">A functioning complaints, appeal, finance and data-protection system.</w:t>
      </w:r>
    </w:p>
    <w:p>
      <w:pPr>
        <w:pStyle w:val="ListParagraph"/>
        <w:numPr>
          <w:ilvl w:val="0"/>
          <w:numId w:val="2"/>
        </w:numPr>
        <w:spacing w:after="90"/>
      </w:pPr>
      <w:r>
        <w:rPr>
          <w:rFonts w:ascii="Calibri" w:cs="Calibri" w:eastAsia="Calibri" w:hAnsi="Calibri"/>
          <w:b w:val="false"/>
          <w:bCs w:val="false"/>
          <w:color w:val="12241C"/>
          <w:sz w:val="21"/>
          <w:szCs w:val="21"/>
        </w:rPr>
        <w:t xml:space="preserve">A visible record of corrections, civic service and respectful constitutional engagement.</w:t>
      </w:r>
    </w:p>
    <w:p>
      <w:pPr>
        <w:pStyle w:val="ListParagraph"/>
        <w:numPr>
          <w:ilvl w:val="0"/>
          <w:numId w:val="2"/>
        </w:numPr>
        <w:spacing w:after="90"/>
      </w:pPr>
      <w:r>
        <w:rPr>
          <w:rFonts w:ascii="Calibri" w:cs="Calibri" w:eastAsia="Calibri" w:hAnsi="Calibri"/>
          <w:b w:val="false"/>
          <w:bCs w:val="false"/>
          <w:color w:val="12241C"/>
          <w:sz w:val="21"/>
          <w:szCs w:val="21"/>
        </w:rPr>
        <w:t xml:space="preserve">Growth that does not compromise safety, integrity or financial control.</w:t>
      </w:r>
    </w:p>
    <w:p>
      <w:r>
        <w:br w:type="page"/>
      </w:r>
    </w:p>
    <w:tbl>
      <w:tblPr>
        <w:tblW w:type="pct" w:w="100%"/>
        <w:tblBorders>
          <w:top w:val="none"/>
          <w:left w:val="none"/>
          <w:bottom w:val="none"/>
          <w:right w:val="none"/>
          <w:insideH w:val="none"/>
          <w:insideV w:val="none"/>
        </w:tblBorders>
      </w:tblPr>
      <w:tblGrid>
        <w:gridCol w:w="100"/>
      </w:tblGrid>
      <w:tr>
        <w:tc>
          <w:tcPr>
            <w:shd w:fill="0B3D26" w:val="clear"/>
            <w:tcMar>
              <w:top w:type="dxa" w:w="260"/>
              <w:left w:type="dxa" w:w="260"/>
              <w:bottom w:type="dxa" w:w="260"/>
              <w:right w:type="dxa" w:w="260"/>
            </w:tcMar>
          </w:tcPr>
          <w:p>
            <w:pPr>
              <w:spacing w:after="60"/>
            </w:pPr>
            <w:r>
              <w:rPr>
                <w:rFonts w:ascii="Consolas" w:cs="Consolas" w:eastAsia="Consolas" w:hAnsi="Consolas"/>
                <w:b/>
                <w:bCs/>
                <w:color w:val="C9A227"/>
                <w:spacing w:val="20"/>
                <w:sz w:val="18"/>
                <w:szCs w:val="18"/>
              </w:rPr>
              <w:t xml:space="preserve">APPENDICES</w:t>
            </w:r>
          </w:p>
          <w:p>
            <w:pPr>
              <w:pStyle w:val="Heading1"/>
              <w:spacing w:after="100"/>
            </w:pPr>
            <w:r>
              <w:rPr>
                <w:rFonts w:ascii="Georgia" w:cs="Georgia" w:eastAsia="Georgia" w:hAnsi="Georgia"/>
                <w:b/>
                <w:bCs/>
                <w:color w:val="FFFFFF"/>
                <w:sz w:val="40"/>
                <w:szCs w:val="40"/>
              </w:rPr>
              <w:t xml:space="preserve">Operational Templates</w:t>
            </w:r>
          </w:p>
          <w:p>
            <w:r>
              <w:rPr>
                <w:rFonts w:ascii="Calibri" w:cs="Calibri" w:eastAsia="Calibri" w:hAnsi="Calibri"/>
                <w:color w:val="F6F1E4"/>
                <w:sz w:val="21"/>
                <w:szCs w:val="21"/>
              </w:rPr>
              <w:t xml:space="preserve">These templates convert PCP principles into repeatable records and controls.</w:t>
            </w:r>
          </w:p>
        </w:tc>
      </w:tr>
    </w:tbl>
    <w:p>
      <w:pPr>
        <w:spacing w:after="200"/>
      </w:pPr>
    </w:p>
    <w:p>
      <w:pPr>
        <w:pStyle w:val="Heading2"/>
        <w:pBdr>
          <w:bottom w:val="single" w:color="C9A227" w:sz="4"/>
        </w:pBdr>
        <w:spacing w:after="120" w:before="320"/>
      </w:pPr>
      <w:r>
        <w:rPr>
          <w:rFonts w:ascii="Georgia" w:cs="Georgia" w:eastAsia="Georgia" w:hAnsi="Georgia"/>
          <w:b/>
          <w:bCs/>
          <w:color w:val="0B3D26"/>
          <w:sz w:val="27"/>
          <w:szCs w:val="27"/>
        </w:rPr>
        <w:t xml:space="preserve">Appendix A — Member Pledge</w:t>
      </w:r>
    </w:p>
    <w:tbl>
      <w:tblPr>
        <w:tblW w:type="pct" w:w="100%"/>
        <w:tblBorders>
          <w:top w:val="none"/>
          <w:left w:val="none"/>
          <w:bottom w:val="none"/>
          <w:right w:val="none"/>
          <w:insideH w:val="none"/>
          <w:insideV w:val="none"/>
        </w:tblBorders>
      </w:tblPr>
      <w:tblGrid>
        <w:gridCol w:w="100"/>
      </w:tblGrid>
      <w:tr>
        <w:tc>
          <w:tcPr>
            <w:tcBorders>
              <w:left w:val="single" w:color="B8892E" w:sz="18"/>
            </w:tcBorders>
            <w:shd w:fill="F6F1E4" w:val="clear"/>
            <w:tcMar>
              <w:top w:type="dxa" w:w="220"/>
              <w:left w:type="dxa" w:w="260"/>
              <w:bottom w:type="dxa" w:w="220"/>
              <w:right w:type="dxa" w:w="260"/>
            </w:tcMar>
          </w:tcPr>
          <w:p>
            <w:r>
              <w:rPr>
                <w:rFonts w:ascii="Georgia" w:cs="Georgia" w:eastAsia="Georgia" w:hAnsi="Georgia"/>
                <w:i/>
                <w:iCs/>
                <w:color w:val="12241C"/>
                <w:sz w:val="23"/>
                <w:szCs w:val="23"/>
              </w:rPr>
              <w:t xml:space="preserve">"I pledge loyalty to Pakistan, its Constitution and its people. I will act peacefully, lawfully and honestly. I will respect human dignity, reject hatred and misinformation, disclose conflicts of interest, protect public and movement property, and accept fair accountability. I will work to change systems through knowledge, service and democratic participation."</w:t>
            </w:r>
          </w:p>
        </w:tc>
      </w:tr>
    </w:tbl>
    <w:p>
      <w:pPr>
        <w:pStyle w:val="Heading2"/>
        <w:pBdr>
          <w:bottom w:val="single" w:color="C9A227" w:sz="4"/>
        </w:pBdr>
        <w:spacing w:after="120" w:before="320"/>
      </w:pPr>
      <w:r>
        <w:rPr>
          <w:rFonts w:ascii="Georgia" w:cs="Georgia" w:eastAsia="Georgia" w:hAnsi="Georgia"/>
          <w:b/>
          <w:bCs/>
          <w:color w:val="0B3D26"/>
          <w:sz w:val="27"/>
          <w:szCs w:val="27"/>
        </w:rPr>
        <w:t xml:space="preserve">Appendix B — Local Chapter Charter Checklist</w:t>
      </w:r>
    </w:p>
    <w:p>
      <w:pPr>
        <w:spacing w:after="90"/>
        <w:ind w:left="360" w:hanging="360"/>
      </w:pPr>
      <w:r>
        <w:rPr>
          <w:rFonts w:ascii="Calibri" w:cs="Calibri" w:eastAsia="Calibri" w:hAnsi="Calibri"/>
          <w:b/>
          <w:bCs/>
          <w:color w:val="B8892E"/>
          <w:sz w:val="20"/>
          <w:szCs w:val="20"/>
        </w:rPr>
        <w:t xml:space="preserve">☐  </w:t>
      </w:r>
      <w:r>
        <w:rPr>
          <w:rFonts w:ascii="Calibri" w:cs="Calibri" w:eastAsia="Calibri" w:hAnsi="Calibri"/>
          <w:color w:val="12241C"/>
          <w:sz w:val="20"/>
          <w:szCs w:val="20"/>
        </w:rPr>
        <w:t xml:space="preserve">Chapter name, district, province and authorised contact.</w:t>
      </w:r>
    </w:p>
    <w:p>
      <w:pPr>
        <w:spacing w:after="90"/>
        <w:ind w:left="360" w:hanging="360"/>
      </w:pPr>
      <w:r>
        <w:rPr>
          <w:rFonts w:ascii="Calibri" w:cs="Calibri" w:eastAsia="Calibri" w:hAnsi="Calibri"/>
          <w:b/>
          <w:bCs/>
          <w:color w:val="B8892E"/>
          <w:sz w:val="20"/>
          <w:szCs w:val="20"/>
        </w:rPr>
        <w:t xml:space="preserve">☐  </w:t>
      </w:r>
      <w:r>
        <w:rPr>
          <w:rFonts w:ascii="Calibri" w:cs="Calibri" w:eastAsia="Calibri" w:hAnsi="Calibri"/>
          <w:color w:val="12241C"/>
          <w:sz w:val="20"/>
          <w:szCs w:val="20"/>
        </w:rPr>
        <w:t xml:space="preserve">Verified founding members and officers with fixed terms.</w:t>
      </w:r>
    </w:p>
    <w:p>
      <w:pPr>
        <w:spacing w:after="90"/>
        <w:ind w:left="360" w:hanging="360"/>
      </w:pPr>
      <w:r>
        <w:rPr>
          <w:rFonts w:ascii="Calibri" w:cs="Calibri" w:eastAsia="Calibri" w:hAnsi="Calibri"/>
          <w:b/>
          <w:bCs/>
          <w:color w:val="B8892E"/>
          <w:sz w:val="20"/>
          <w:szCs w:val="20"/>
        </w:rPr>
        <w:t xml:space="preserve">☐  </w:t>
      </w:r>
      <w:r>
        <w:rPr>
          <w:rFonts w:ascii="Calibri" w:cs="Calibri" w:eastAsia="Calibri" w:hAnsi="Calibri"/>
          <w:color w:val="12241C"/>
          <w:sz w:val="20"/>
          <w:szCs w:val="20"/>
        </w:rPr>
        <w:t xml:space="preserve">Signed member pledges and conflict declarations.</w:t>
      </w:r>
    </w:p>
    <w:p>
      <w:pPr>
        <w:spacing w:after="90"/>
        <w:ind w:left="360" w:hanging="360"/>
      </w:pPr>
      <w:r>
        <w:rPr>
          <w:rFonts w:ascii="Calibri" w:cs="Calibri" w:eastAsia="Calibri" w:hAnsi="Calibri"/>
          <w:b/>
          <w:bCs/>
          <w:color w:val="B8892E"/>
          <w:sz w:val="20"/>
          <w:szCs w:val="20"/>
        </w:rPr>
        <w:t xml:space="preserve">☐  </w:t>
      </w:r>
      <w:r>
        <w:rPr>
          <w:rFonts w:ascii="Calibri" w:cs="Calibri" w:eastAsia="Calibri" w:hAnsi="Calibri"/>
          <w:color w:val="12241C"/>
          <w:sz w:val="20"/>
          <w:szCs w:val="20"/>
        </w:rPr>
        <w:t xml:space="preserve">Treasurer, bank/finance arrangement and receipt register.</w:t>
      </w:r>
    </w:p>
    <w:p>
      <w:pPr>
        <w:spacing w:after="90"/>
        <w:ind w:left="360" w:hanging="360"/>
      </w:pPr>
      <w:r>
        <w:rPr>
          <w:rFonts w:ascii="Calibri" w:cs="Calibri" w:eastAsia="Calibri" w:hAnsi="Calibri"/>
          <w:b/>
          <w:bCs/>
          <w:color w:val="B8892E"/>
          <w:sz w:val="20"/>
          <w:szCs w:val="20"/>
        </w:rPr>
        <w:t xml:space="preserve">☐  </w:t>
      </w:r>
      <w:r>
        <w:rPr>
          <w:rFonts w:ascii="Calibri" w:cs="Calibri" w:eastAsia="Calibri" w:hAnsi="Calibri"/>
          <w:color w:val="12241C"/>
          <w:sz w:val="20"/>
          <w:szCs w:val="20"/>
        </w:rPr>
        <w:t xml:space="preserve">Data custodian, access list and consent process.</w:t>
      </w:r>
    </w:p>
    <w:p>
      <w:pPr>
        <w:spacing w:after="90"/>
        <w:ind w:left="360" w:hanging="360"/>
      </w:pPr>
      <w:r>
        <w:rPr>
          <w:rFonts w:ascii="Calibri" w:cs="Calibri" w:eastAsia="Calibri" w:hAnsi="Calibri"/>
          <w:b/>
          <w:bCs/>
          <w:color w:val="B8892E"/>
          <w:sz w:val="20"/>
          <w:szCs w:val="20"/>
        </w:rPr>
        <w:t xml:space="preserve">☐  </w:t>
      </w:r>
      <w:r>
        <w:rPr>
          <w:rFonts w:ascii="Calibri" w:cs="Calibri" w:eastAsia="Calibri" w:hAnsi="Calibri"/>
          <w:color w:val="12241C"/>
          <w:sz w:val="20"/>
          <w:szCs w:val="20"/>
        </w:rPr>
        <w:t xml:space="preserve">Complaint contact and safeguarding lead.</w:t>
      </w:r>
    </w:p>
    <w:p>
      <w:pPr>
        <w:spacing w:after="90"/>
        <w:ind w:left="360" w:hanging="360"/>
      </w:pPr>
      <w:r>
        <w:rPr>
          <w:rFonts w:ascii="Calibri" w:cs="Calibri" w:eastAsia="Calibri" w:hAnsi="Calibri"/>
          <w:b/>
          <w:bCs/>
          <w:color w:val="B8892E"/>
          <w:sz w:val="20"/>
          <w:szCs w:val="20"/>
        </w:rPr>
        <w:t xml:space="preserve">☐  </w:t>
      </w:r>
      <w:r>
        <w:rPr>
          <w:rFonts w:ascii="Calibri" w:cs="Calibri" w:eastAsia="Calibri" w:hAnsi="Calibri"/>
          <w:color w:val="12241C"/>
          <w:sz w:val="20"/>
          <w:szCs w:val="20"/>
        </w:rPr>
        <w:t xml:space="preserve">Monthly meeting schedule and minutes register.</w:t>
      </w:r>
    </w:p>
    <w:p>
      <w:pPr>
        <w:spacing w:after="90"/>
        <w:ind w:left="360" w:hanging="360"/>
      </w:pPr>
      <w:r>
        <w:rPr>
          <w:rFonts w:ascii="Calibri" w:cs="Calibri" w:eastAsia="Calibri" w:hAnsi="Calibri"/>
          <w:b/>
          <w:bCs/>
          <w:color w:val="B8892E"/>
          <w:sz w:val="20"/>
          <w:szCs w:val="20"/>
        </w:rPr>
        <w:t xml:space="preserve">☐  </w:t>
      </w:r>
      <w:r>
        <w:rPr>
          <w:rFonts w:ascii="Calibri" w:cs="Calibri" w:eastAsia="Calibri" w:hAnsi="Calibri"/>
          <w:color w:val="12241C"/>
          <w:sz w:val="20"/>
          <w:szCs w:val="20"/>
        </w:rPr>
        <w:t xml:space="preserve">First 90-day civic-service project and measurable outcome.</w:t>
      </w:r>
    </w:p>
    <w:p>
      <w:pPr>
        <w:spacing w:after="90"/>
        <w:ind w:left="360" w:hanging="360"/>
      </w:pPr>
      <w:r>
        <w:rPr>
          <w:rFonts w:ascii="Calibri" w:cs="Calibri" w:eastAsia="Calibri" w:hAnsi="Calibri"/>
          <w:b/>
          <w:bCs/>
          <w:color w:val="B8892E"/>
          <w:sz w:val="20"/>
          <w:szCs w:val="20"/>
        </w:rPr>
        <w:t xml:space="preserve">☐  </w:t>
      </w:r>
      <w:r>
        <w:rPr>
          <w:rFonts w:ascii="Calibri" w:cs="Calibri" w:eastAsia="Calibri" w:hAnsi="Calibri"/>
          <w:color w:val="12241C"/>
          <w:sz w:val="20"/>
          <w:szCs w:val="20"/>
        </w:rPr>
        <w:t xml:space="preserve">Quarterly reporting date and responsible officer.</w:t>
      </w:r>
    </w:p>
    <w:p>
      <w:pPr>
        <w:pStyle w:val="Heading2"/>
        <w:pBdr>
          <w:bottom w:val="single" w:color="C9A227" w:sz="4"/>
        </w:pBdr>
        <w:spacing w:after="120" w:before="320"/>
      </w:pPr>
      <w:r>
        <w:rPr>
          <w:rFonts w:ascii="Georgia" w:cs="Georgia" w:eastAsia="Georgia" w:hAnsi="Georgia"/>
          <w:b/>
          <w:bCs/>
          <w:color w:val="0B3D26"/>
          <w:sz w:val="27"/>
          <w:szCs w:val="27"/>
        </w:rPr>
        <w:t xml:space="preserve">Appendix C — Meeting Record</w:t>
      </w:r>
    </w:p>
    <w:tbl>
      <w:tblPr>
        <w:tblW w:type="pct" w:w="100%"/>
        <w:tblBorders>
          <w:top w:val="single" w:color="CCCCCC" w:sz="2"/>
          <w:left w:val="single" w:color="CCCCCC" w:sz="2"/>
          <w:bottom w:val="single" w:color="CCCCCC" w:sz="2"/>
          <w:right w:val="single" w:color="CCCCCC" w:sz="2"/>
          <w:insideH w:val="single" w:color="E3DFD3" w:sz="2"/>
          <w:insideV w:val="single" w:color="E3DFD3" w:sz="2"/>
        </w:tblBorders>
      </w:tblPr>
      <w:tblGrid>
        <w:gridCol w:w="2400"/>
        <w:gridCol w:w="6950"/>
      </w:tblGrid>
      <w:tr>
        <w:trPr>
          <w:tblHeader/>
        </w:trPr>
        <w:tc>
          <w:tcPr>
            <w:tcW w:type="dxa" w:w="24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Field</w:t>
            </w:r>
          </w:p>
        </w:tc>
        <w:tc>
          <w:tcPr>
            <w:tcW w:type="dxa" w:w="695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Required Entry</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Meeting</w:t>
            </w:r>
          </w:p>
        </w:tc>
        <w:tc>
          <w:tcPr>
            <w:tcW w:type="dxa" w:w="6950"/>
            <w:shd w:fill="FFFFFF" w:val="clear"/>
            <w:tcMar>
              <w:top w:type="dxa" w:w="110"/>
              <w:left w:type="dxa" w:w="140"/>
              <w:bottom w:type="dxa" w:w="110"/>
              <w:right w:type="dxa" w:w="140"/>
            </w:tcMar>
          </w:tcPr>
          <w:p>
            <w:r>
              <w:rPr>
                <w:rFonts w:ascii="Calibri" w:cs="Calibri" w:eastAsia="Calibri" w:hAnsi="Calibri"/>
                <w:color w:val="12241C"/>
                <w:sz w:val="19"/>
                <w:szCs w:val="19"/>
              </w:rPr>
              <w:t xml:space="preserve">Body/chapter, date, time, place or online platform</w:t>
            </w:r>
          </w:p>
        </w:tc>
      </w:tr>
      <w:tr>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Attendance</w:t>
            </w:r>
          </w:p>
        </w:tc>
        <w:tc>
          <w:tcPr>
            <w:tcW w:type="dxa" w:w="6950"/>
            <w:shd w:fill="E7EFE9" w:val="clear"/>
            <w:tcMar>
              <w:top w:type="dxa" w:w="110"/>
              <w:left w:type="dxa" w:w="140"/>
              <w:bottom w:type="dxa" w:w="110"/>
              <w:right w:type="dxa" w:w="140"/>
            </w:tcMar>
          </w:tcPr>
          <w:p>
            <w:r>
              <w:rPr>
                <w:rFonts w:ascii="Calibri" w:cs="Calibri" w:eastAsia="Calibri" w:hAnsi="Calibri"/>
                <w:color w:val="12241C"/>
                <w:sz w:val="19"/>
                <w:szCs w:val="19"/>
              </w:rPr>
              <w:t xml:space="preserve">Members present, apologies and quorum</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Conflicts</w:t>
            </w:r>
          </w:p>
        </w:tc>
        <w:tc>
          <w:tcPr>
            <w:tcW w:type="dxa" w:w="6950"/>
            <w:shd w:fill="FFFFFF" w:val="clear"/>
            <w:tcMar>
              <w:top w:type="dxa" w:w="110"/>
              <w:left w:type="dxa" w:w="140"/>
              <w:bottom w:type="dxa" w:w="110"/>
              <w:right w:type="dxa" w:w="140"/>
            </w:tcMar>
          </w:tcPr>
          <w:p>
            <w:r>
              <w:rPr>
                <w:rFonts w:ascii="Calibri" w:cs="Calibri" w:eastAsia="Calibri" w:hAnsi="Calibri"/>
                <w:color w:val="12241C"/>
                <w:sz w:val="19"/>
                <w:szCs w:val="19"/>
              </w:rPr>
              <w:t xml:space="preserve">Agenda item, person, interest and recusal action</w:t>
            </w:r>
          </w:p>
        </w:tc>
      </w:tr>
      <w:tr>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Decision</w:t>
            </w:r>
          </w:p>
        </w:tc>
        <w:tc>
          <w:tcPr>
            <w:tcW w:type="dxa" w:w="6950"/>
            <w:shd w:fill="E7EFE9" w:val="clear"/>
            <w:tcMar>
              <w:top w:type="dxa" w:w="110"/>
              <w:left w:type="dxa" w:w="140"/>
              <w:bottom w:type="dxa" w:w="110"/>
              <w:right w:type="dxa" w:w="140"/>
            </w:tcMar>
          </w:tcPr>
          <w:p>
            <w:r>
              <w:rPr>
                <w:rFonts w:ascii="Calibri" w:cs="Calibri" w:eastAsia="Calibri" w:hAnsi="Calibri"/>
                <w:color w:val="12241C"/>
                <w:sz w:val="19"/>
                <w:szCs w:val="19"/>
              </w:rPr>
              <w:t xml:space="preserve">Exact decision, vote/consensus and authority</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Action</w:t>
            </w:r>
          </w:p>
        </w:tc>
        <w:tc>
          <w:tcPr>
            <w:tcW w:type="dxa" w:w="6950"/>
            <w:shd w:fill="FFFFFF" w:val="clear"/>
            <w:tcMar>
              <w:top w:type="dxa" w:w="110"/>
              <w:left w:type="dxa" w:w="140"/>
              <w:bottom w:type="dxa" w:w="110"/>
              <w:right w:type="dxa" w:w="140"/>
            </w:tcMar>
          </w:tcPr>
          <w:p>
            <w:r>
              <w:rPr>
                <w:rFonts w:ascii="Calibri" w:cs="Calibri" w:eastAsia="Calibri" w:hAnsi="Calibri"/>
                <w:color w:val="12241C"/>
                <w:sz w:val="19"/>
                <w:szCs w:val="19"/>
              </w:rPr>
              <w:t xml:space="preserve">Task, owner, deadline and evidence of completion</w:t>
            </w:r>
          </w:p>
        </w:tc>
      </w:tr>
      <w:tr>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Dissent</w:t>
            </w:r>
          </w:p>
        </w:tc>
        <w:tc>
          <w:tcPr>
            <w:tcW w:type="dxa" w:w="6950"/>
            <w:shd w:fill="E7EFE9" w:val="clear"/>
            <w:tcMar>
              <w:top w:type="dxa" w:w="110"/>
              <w:left w:type="dxa" w:w="140"/>
              <w:bottom w:type="dxa" w:w="110"/>
              <w:right w:type="dxa" w:w="140"/>
            </w:tcMar>
          </w:tcPr>
          <w:p>
            <w:r>
              <w:rPr>
                <w:rFonts w:ascii="Calibri" w:cs="Calibri" w:eastAsia="Calibri" w:hAnsi="Calibri"/>
                <w:color w:val="12241C"/>
                <w:sz w:val="19"/>
                <w:szCs w:val="19"/>
              </w:rPr>
              <w:t xml:space="preserve">Material alternative view requested for the record</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Approval</w:t>
            </w:r>
          </w:p>
        </w:tc>
        <w:tc>
          <w:tcPr>
            <w:tcW w:type="dxa" w:w="6950"/>
            <w:shd w:fill="FFFFFF" w:val="clear"/>
            <w:tcMar>
              <w:top w:type="dxa" w:w="110"/>
              <w:left w:type="dxa" w:w="140"/>
              <w:bottom w:type="dxa" w:w="110"/>
              <w:right w:type="dxa" w:w="140"/>
            </w:tcMar>
          </w:tcPr>
          <w:p>
            <w:r>
              <w:rPr>
                <w:rFonts w:ascii="Calibri" w:cs="Calibri" w:eastAsia="Calibri" w:hAnsi="Calibri"/>
                <w:color w:val="12241C"/>
                <w:sz w:val="19"/>
                <w:szCs w:val="19"/>
              </w:rPr>
              <w:t xml:space="preserve">Chair and secretary confirmation/date</w:t>
            </w:r>
          </w:p>
        </w:tc>
      </w:tr>
    </w:tbl>
    <w:p>
      <w:pPr>
        <w:pStyle w:val="Heading2"/>
        <w:pBdr>
          <w:bottom w:val="single" w:color="C9A227" w:sz="4"/>
        </w:pBdr>
        <w:spacing w:after="120" w:before="320"/>
      </w:pPr>
      <w:r>
        <w:rPr>
          <w:rFonts w:ascii="Georgia" w:cs="Georgia" w:eastAsia="Georgia" w:hAnsi="Georgia"/>
          <w:b/>
          <w:bCs/>
          <w:color w:val="0B3D26"/>
          <w:sz w:val="27"/>
          <w:szCs w:val="27"/>
        </w:rPr>
        <w:t xml:space="preserve">Appendix D — Content Publication Checklist</w:t>
      </w:r>
    </w:p>
    <w:p>
      <w:pPr>
        <w:spacing w:after="90"/>
        <w:ind w:left="360" w:hanging="360"/>
      </w:pPr>
      <w:r>
        <w:rPr>
          <w:rFonts w:ascii="Calibri" w:cs="Calibri" w:eastAsia="Calibri" w:hAnsi="Calibri"/>
          <w:b/>
          <w:bCs/>
          <w:color w:val="B8892E"/>
          <w:sz w:val="20"/>
          <w:szCs w:val="20"/>
        </w:rPr>
        <w:t xml:space="preserve">☐  </w:t>
      </w:r>
      <w:r>
        <w:rPr>
          <w:rFonts w:ascii="Calibri" w:cs="Calibri" w:eastAsia="Calibri" w:hAnsi="Calibri"/>
          <w:color w:val="12241C"/>
          <w:sz w:val="20"/>
          <w:szCs w:val="20"/>
        </w:rPr>
        <w:t xml:space="preserve">Source opened and checked by the reviewer.</w:t>
      </w:r>
    </w:p>
    <w:p>
      <w:pPr>
        <w:spacing w:after="90"/>
        <w:ind w:left="360" w:hanging="360"/>
      </w:pPr>
      <w:r>
        <w:rPr>
          <w:rFonts w:ascii="Calibri" w:cs="Calibri" w:eastAsia="Calibri" w:hAnsi="Calibri"/>
          <w:b/>
          <w:bCs/>
          <w:color w:val="B8892E"/>
          <w:sz w:val="20"/>
          <w:szCs w:val="20"/>
        </w:rPr>
        <w:t xml:space="preserve">☐  </w:t>
      </w:r>
      <w:r>
        <w:rPr>
          <w:rFonts w:ascii="Calibri" w:cs="Calibri" w:eastAsia="Calibri" w:hAnsi="Calibri"/>
          <w:color w:val="12241C"/>
          <w:sz w:val="20"/>
          <w:szCs w:val="20"/>
        </w:rPr>
        <w:t xml:space="preserve">Headline, image, caption and date accurately represent the source.</w:t>
      </w:r>
    </w:p>
    <w:p>
      <w:pPr>
        <w:spacing w:after="90"/>
        <w:ind w:left="360" w:hanging="360"/>
      </w:pPr>
      <w:r>
        <w:rPr>
          <w:rFonts w:ascii="Calibri" w:cs="Calibri" w:eastAsia="Calibri" w:hAnsi="Calibri"/>
          <w:b/>
          <w:bCs/>
          <w:color w:val="B8892E"/>
          <w:sz w:val="20"/>
          <w:szCs w:val="20"/>
        </w:rPr>
        <w:t xml:space="preserve">☐  </w:t>
      </w:r>
      <w:r>
        <w:rPr>
          <w:rFonts w:ascii="Calibri" w:cs="Calibri" w:eastAsia="Calibri" w:hAnsi="Calibri"/>
          <w:color w:val="12241C"/>
          <w:sz w:val="20"/>
          <w:szCs w:val="20"/>
        </w:rPr>
        <w:t xml:space="preserve">Opinion, satire and verified news are clearly distinguished.</w:t>
      </w:r>
    </w:p>
    <w:p>
      <w:pPr>
        <w:spacing w:after="90"/>
        <w:ind w:left="360" w:hanging="360"/>
      </w:pPr>
      <w:r>
        <w:rPr>
          <w:rFonts w:ascii="Calibri" w:cs="Calibri" w:eastAsia="Calibri" w:hAnsi="Calibri"/>
          <w:b/>
          <w:bCs/>
          <w:color w:val="B8892E"/>
          <w:sz w:val="20"/>
          <w:szCs w:val="20"/>
        </w:rPr>
        <w:t xml:space="preserve">☐  </w:t>
      </w:r>
      <w:r>
        <w:rPr>
          <w:rFonts w:ascii="Calibri" w:cs="Calibri" w:eastAsia="Calibri" w:hAnsi="Calibri"/>
          <w:color w:val="12241C"/>
          <w:sz w:val="20"/>
          <w:szCs w:val="20"/>
        </w:rPr>
        <w:t xml:space="preserve">Allegations received appropriate legal/editorial review.</w:t>
      </w:r>
    </w:p>
    <w:p>
      <w:pPr>
        <w:spacing w:after="90"/>
        <w:ind w:left="360" w:hanging="360"/>
      </w:pPr>
      <w:r>
        <w:rPr>
          <w:rFonts w:ascii="Calibri" w:cs="Calibri" w:eastAsia="Calibri" w:hAnsi="Calibri"/>
          <w:b/>
          <w:bCs/>
          <w:color w:val="B8892E"/>
          <w:sz w:val="20"/>
          <w:szCs w:val="20"/>
        </w:rPr>
        <w:t xml:space="preserve">☐  </w:t>
      </w:r>
      <w:r>
        <w:rPr>
          <w:rFonts w:ascii="Calibri" w:cs="Calibri" w:eastAsia="Calibri" w:hAnsi="Calibri"/>
          <w:color w:val="12241C"/>
          <w:sz w:val="20"/>
          <w:szCs w:val="20"/>
        </w:rPr>
        <w:t xml:space="preserve">No hate, harassment, doxxing, private data or incitement.</w:t>
      </w:r>
    </w:p>
    <w:p>
      <w:pPr>
        <w:spacing w:after="90"/>
        <w:ind w:left="360" w:hanging="360"/>
      </w:pPr>
      <w:r>
        <w:rPr>
          <w:rFonts w:ascii="Calibri" w:cs="Calibri" w:eastAsia="Calibri" w:hAnsi="Calibri"/>
          <w:b/>
          <w:bCs/>
          <w:color w:val="B8892E"/>
          <w:sz w:val="20"/>
          <w:szCs w:val="20"/>
        </w:rPr>
        <w:t xml:space="preserve">☐  </w:t>
      </w:r>
      <w:r>
        <w:rPr>
          <w:rFonts w:ascii="Calibri" w:cs="Calibri" w:eastAsia="Calibri" w:hAnsi="Calibri"/>
          <w:color w:val="12241C"/>
          <w:sz w:val="20"/>
          <w:szCs w:val="20"/>
        </w:rPr>
        <w:t xml:space="preserve">PCP branding and @pakistancockroach are correct.</w:t>
      </w:r>
    </w:p>
    <w:p>
      <w:pPr>
        <w:spacing w:after="90"/>
        <w:ind w:left="360" w:hanging="360"/>
      </w:pPr>
      <w:r>
        <w:rPr>
          <w:rFonts w:ascii="Calibri" w:cs="Calibri" w:eastAsia="Calibri" w:hAnsi="Calibri"/>
          <w:b/>
          <w:bCs/>
          <w:color w:val="B8892E"/>
          <w:sz w:val="20"/>
          <w:szCs w:val="20"/>
        </w:rPr>
        <w:t xml:space="preserve">☐  </w:t>
      </w:r>
      <w:r>
        <w:rPr>
          <w:rFonts w:ascii="Calibri" w:cs="Calibri" w:eastAsia="Calibri" w:hAnsi="Calibri"/>
          <w:color w:val="12241C"/>
          <w:sz w:val="20"/>
          <w:szCs w:val="20"/>
        </w:rPr>
        <w:t xml:space="preserve">Approver, source links, final file and correction owner are archived.</w:t>
      </w:r>
    </w:p>
    <w:p>
      <w:pPr>
        <w:pStyle w:val="Heading2"/>
        <w:pBdr>
          <w:bottom w:val="single" w:color="C9A227" w:sz="4"/>
        </w:pBdr>
        <w:spacing w:after="120" w:before="320"/>
      </w:pPr>
      <w:r>
        <w:rPr>
          <w:rFonts w:ascii="Georgia" w:cs="Georgia" w:eastAsia="Georgia" w:hAnsi="Georgia"/>
          <w:b/>
          <w:bCs/>
          <w:color w:val="0B3D26"/>
          <w:sz w:val="27"/>
          <w:szCs w:val="27"/>
        </w:rPr>
        <w:t xml:space="preserve">Appendix E — Donation and Expenditure Record</w:t>
      </w:r>
    </w:p>
    <w:tbl>
      <w:tblPr>
        <w:tblW w:type="pct" w:w="100%"/>
        <w:tblBorders>
          <w:top w:val="single" w:color="CCCCCC" w:sz="2"/>
          <w:left w:val="single" w:color="CCCCCC" w:sz="2"/>
          <w:bottom w:val="single" w:color="CCCCCC" w:sz="2"/>
          <w:right w:val="single" w:color="CCCCCC" w:sz="2"/>
          <w:insideH w:val="single" w:color="E3DFD3" w:sz="2"/>
          <w:insideV w:val="single" w:color="E3DFD3" w:sz="2"/>
        </w:tblBorders>
      </w:tblPr>
      <w:tblGrid>
        <w:gridCol w:w="2400"/>
        <w:gridCol w:w="6950"/>
      </w:tblGrid>
      <w:tr>
        <w:trPr>
          <w:tblHeader/>
        </w:trPr>
        <w:tc>
          <w:tcPr>
            <w:tcW w:type="dxa" w:w="24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Field</w:t>
            </w:r>
          </w:p>
        </w:tc>
        <w:tc>
          <w:tcPr>
            <w:tcW w:type="dxa" w:w="695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Minimum Record</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Reference</w:t>
            </w:r>
          </w:p>
        </w:tc>
        <w:tc>
          <w:tcPr>
            <w:tcW w:type="dxa" w:w="6950"/>
            <w:shd w:fill="FFFFFF" w:val="clear"/>
            <w:tcMar>
              <w:top w:type="dxa" w:w="110"/>
              <w:left w:type="dxa" w:w="140"/>
              <w:bottom w:type="dxa" w:w="110"/>
              <w:right w:type="dxa" w:w="140"/>
            </w:tcMar>
          </w:tcPr>
          <w:p>
            <w:r>
              <w:rPr>
                <w:rFonts w:ascii="Calibri" w:cs="Calibri" w:eastAsia="Calibri" w:hAnsi="Calibri"/>
                <w:color w:val="12241C"/>
                <w:sz w:val="19"/>
                <w:szCs w:val="19"/>
              </w:rPr>
              <w:t xml:space="preserve">Unique transaction number and date</w:t>
            </w:r>
          </w:p>
        </w:tc>
      </w:tr>
      <w:tr>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Person/Entity</w:t>
            </w:r>
          </w:p>
        </w:tc>
        <w:tc>
          <w:tcPr>
            <w:tcW w:type="dxa" w:w="6950"/>
            <w:shd w:fill="E7EFE9" w:val="clear"/>
            <w:tcMar>
              <w:top w:type="dxa" w:w="110"/>
              <w:left w:type="dxa" w:w="140"/>
              <w:bottom w:type="dxa" w:w="110"/>
              <w:right w:type="dxa" w:w="140"/>
            </w:tcMar>
          </w:tcPr>
          <w:p>
            <w:r>
              <w:rPr>
                <w:rFonts w:ascii="Calibri" w:cs="Calibri" w:eastAsia="Calibri" w:hAnsi="Calibri"/>
                <w:color w:val="12241C"/>
                <w:sz w:val="19"/>
                <w:szCs w:val="19"/>
              </w:rPr>
              <w:t xml:space="preserve">Verified lawful identity and contact</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Type</w:t>
            </w:r>
          </w:p>
        </w:tc>
        <w:tc>
          <w:tcPr>
            <w:tcW w:type="dxa" w:w="6950"/>
            <w:shd w:fill="FFFFFF" w:val="clear"/>
            <w:tcMar>
              <w:top w:type="dxa" w:w="110"/>
              <w:left w:type="dxa" w:w="140"/>
              <w:bottom w:type="dxa" w:w="110"/>
              <w:right w:type="dxa" w:w="140"/>
            </w:tcMar>
          </w:tcPr>
          <w:p>
            <w:r>
              <w:rPr>
                <w:rFonts w:ascii="Calibri" w:cs="Calibri" w:eastAsia="Calibri" w:hAnsi="Calibri"/>
                <w:color w:val="12241C"/>
                <w:sz w:val="19"/>
                <w:szCs w:val="19"/>
              </w:rPr>
              <w:t xml:space="preserve">Donation, membership fee, refund or expenditure</w:t>
            </w:r>
          </w:p>
        </w:tc>
      </w:tr>
      <w:tr>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Amount/Method</w:t>
            </w:r>
          </w:p>
        </w:tc>
        <w:tc>
          <w:tcPr>
            <w:tcW w:type="dxa" w:w="6950"/>
            <w:shd w:fill="E7EFE9" w:val="clear"/>
            <w:tcMar>
              <w:top w:type="dxa" w:w="110"/>
              <w:left w:type="dxa" w:w="140"/>
              <w:bottom w:type="dxa" w:w="110"/>
              <w:right w:type="dxa" w:w="140"/>
            </w:tcMar>
          </w:tcPr>
          <w:p>
            <w:r>
              <w:rPr>
                <w:rFonts w:ascii="Calibri" w:cs="Calibri" w:eastAsia="Calibri" w:hAnsi="Calibri"/>
                <w:color w:val="12241C"/>
                <w:sz w:val="19"/>
                <w:szCs w:val="19"/>
              </w:rPr>
              <w:t xml:space="preserve">Amount, currency and banking/payment channel</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Purpose</w:t>
            </w:r>
          </w:p>
        </w:tc>
        <w:tc>
          <w:tcPr>
            <w:tcW w:type="dxa" w:w="6950"/>
            <w:shd w:fill="FFFFFF" w:val="clear"/>
            <w:tcMar>
              <w:top w:type="dxa" w:w="110"/>
              <w:left w:type="dxa" w:w="140"/>
              <w:bottom w:type="dxa" w:w="110"/>
              <w:right w:type="dxa" w:w="140"/>
            </w:tcMar>
          </w:tcPr>
          <w:p>
            <w:r>
              <w:rPr>
                <w:rFonts w:ascii="Calibri" w:cs="Calibri" w:eastAsia="Calibri" w:hAnsi="Calibri"/>
                <w:color w:val="12241C"/>
                <w:sz w:val="19"/>
                <w:szCs w:val="19"/>
              </w:rPr>
              <w:t xml:space="preserve">Unrestricted or approved restricted purpose</w:t>
            </w:r>
          </w:p>
        </w:tc>
      </w:tr>
      <w:tr>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Interest Check</w:t>
            </w:r>
          </w:p>
        </w:tc>
        <w:tc>
          <w:tcPr>
            <w:tcW w:type="dxa" w:w="6950"/>
            <w:shd w:fill="E7EFE9" w:val="clear"/>
            <w:tcMar>
              <w:top w:type="dxa" w:w="110"/>
              <w:left w:type="dxa" w:w="140"/>
              <w:bottom w:type="dxa" w:w="110"/>
              <w:right w:type="dxa" w:w="140"/>
            </w:tcMar>
          </w:tcPr>
          <w:p>
            <w:r>
              <w:rPr>
                <w:rFonts w:ascii="Calibri" w:cs="Calibri" w:eastAsia="Calibri" w:hAnsi="Calibri"/>
                <w:color w:val="12241C"/>
                <w:sz w:val="19"/>
                <w:szCs w:val="19"/>
              </w:rPr>
              <w:t xml:space="preserve">Declared relationship, procurement or policy interest</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Evidence</w:t>
            </w:r>
          </w:p>
        </w:tc>
        <w:tc>
          <w:tcPr>
            <w:tcW w:type="dxa" w:w="6950"/>
            <w:shd w:fill="FFFFFF" w:val="clear"/>
            <w:tcMar>
              <w:top w:type="dxa" w:w="110"/>
              <w:left w:type="dxa" w:w="140"/>
              <w:bottom w:type="dxa" w:w="110"/>
              <w:right w:type="dxa" w:w="140"/>
            </w:tcMar>
          </w:tcPr>
          <w:p>
            <w:r>
              <w:rPr>
                <w:rFonts w:ascii="Calibri" w:cs="Calibri" w:eastAsia="Calibri" w:hAnsi="Calibri"/>
                <w:color w:val="12241C"/>
                <w:sz w:val="19"/>
                <w:szCs w:val="19"/>
              </w:rPr>
              <w:t xml:space="preserve">Receipt, invoice, approval and bank reference</w:t>
            </w:r>
          </w:p>
        </w:tc>
      </w:tr>
      <w:tr>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Review</w:t>
            </w:r>
          </w:p>
        </w:tc>
        <w:tc>
          <w:tcPr>
            <w:tcW w:type="dxa" w:w="6950"/>
            <w:shd w:fill="E7EFE9" w:val="clear"/>
            <w:tcMar>
              <w:top w:type="dxa" w:w="110"/>
              <w:left w:type="dxa" w:w="140"/>
              <w:bottom w:type="dxa" w:w="110"/>
              <w:right w:type="dxa" w:w="140"/>
            </w:tcMar>
          </w:tcPr>
          <w:p>
            <w:r>
              <w:rPr>
                <w:rFonts w:ascii="Calibri" w:cs="Calibri" w:eastAsia="Calibri" w:hAnsi="Calibri"/>
                <w:color w:val="12241C"/>
                <w:sz w:val="19"/>
                <w:szCs w:val="19"/>
              </w:rPr>
              <w:t xml:space="preserve">Treasurer and second approver</w:t>
            </w:r>
          </w:p>
        </w:tc>
      </w:tr>
    </w:tbl>
    <w:p>
      <w:pPr>
        <w:pStyle w:val="Heading2"/>
        <w:pBdr>
          <w:bottom w:val="single" w:color="C9A227" w:sz="4"/>
        </w:pBdr>
        <w:spacing w:after="120" w:before="320"/>
      </w:pPr>
      <w:r>
        <w:rPr>
          <w:rFonts w:ascii="Georgia" w:cs="Georgia" w:eastAsia="Georgia" w:hAnsi="Georgia"/>
          <w:b/>
          <w:bCs/>
          <w:color w:val="0B3D26"/>
          <w:sz w:val="27"/>
          <w:szCs w:val="27"/>
        </w:rPr>
        <w:t xml:space="preserve">Appendix F — Incident Report</w:t>
      </w:r>
    </w:p>
    <w:tbl>
      <w:tblPr>
        <w:tblW w:type="pct" w:w="100%"/>
        <w:tblBorders>
          <w:top w:val="single" w:color="CCCCCC" w:sz="2"/>
          <w:left w:val="single" w:color="CCCCCC" w:sz="2"/>
          <w:bottom w:val="single" w:color="CCCCCC" w:sz="2"/>
          <w:right w:val="single" w:color="CCCCCC" w:sz="2"/>
          <w:insideH w:val="single" w:color="E3DFD3" w:sz="2"/>
          <w:insideV w:val="single" w:color="E3DFD3" w:sz="2"/>
        </w:tblBorders>
      </w:tblPr>
      <w:tblGrid>
        <w:gridCol w:w="2400"/>
        <w:gridCol w:w="6950"/>
      </w:tblGrid>
      <w:tr>
        <w:trPr>
          <w:tblHeader/>
        </w:trPr>
        <w:tc>
          <w:tcPr>
            <w:tcW w:type="dxa" w:w="24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Field</w:t>
            </w:r>
          </w:p>
        </w:tc>
        <w:tc>
          <w:tcPr>
            <w:tcW w:type="dxa" w:w="695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Required Information</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Incident</w:t>
            </w:r>
          </w:p>
        </w:tc>
        <w:tc>
          <w:tcPr>
            <w:tcW w:type="dxa" w:w="6950"/>
            <w:shd w:fill="FFFFFF" w:val="clear"/>
            <w:tcMar>
              <w:top w:type="dxa" w:w="110"/>
              <w:left w:type="dxa" w:w="140"/>
              <w:bottom w:type="dxa" w:w="110"/>
              <w:right w:type="dxa" w:w="140"/>
            </w:tcMar>
          </w:tcPr>
          <w:p>
            <w:r>
              <w:rPr>
                <w:rFonts w:ascii="Calibri" w:cs="Calibri" w:eastAsia="Calibri" w:hAnsi="Calibri"/>
                <w:color w:val="12241C"/>
                <w:sz w:val="19"/>
                <w:szCs w:val="19"/>
              </w:rPr>
              <w:t xml:space="preserve">Date, time, location, event and reporter</w:t>
            </w:r>
          </w:p>
        </w:tc>
      </w:tr>
      <w:tr>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People</w:t>
            </w:r>
          </w:p>
        </w:tc>
        <w:tc>
          <w:tcPr>
            <w:tcW w:type="dxa" w:w="6950"/>
            <w:shd w:fill="E7EFE9" w:val="clear"/>
            <w:tcMar>
              <w:top w:type="dxa" w:w="110"/>
              <w:left w:type="dxa" w:w="140"/>
              <w:bottom w:type="dxa" w:w="110"/>
              <w:right w:type="dxa" w:w="140"/>
            </w:tcMar>
          </w:tcPr>
          <w:p>
            <w:r>
              <w:rPr>
                <w:rFonts w:ascii="Calibri" w:cs="Calibri" w:eastAsia="Calibri" w:hAnsi="Calibri"/>
                <w:color w:val="12241C"/>
                <w:sz w:val="19"/>
                <w:szCs w:val="19"/>
              </w:rPr>
              <w:t xml:space="preserve">Affected persons, witnesses and responsible lead</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Description</w:t>
            </w:r>
          </w:p>
        </w:tc>
        <w:tc>
          <w:tcPr>
            <w:tcW w:type="dxa" w:w="6950"/>
            <w:shd w:fill="FFFFFF" w:val="clear"/>
            <w:tcMar>
              <w:top w:type="dxa" w:w="110"/>
              <w:left w:type="dxa" w:w="140"/>
              <w:bottom w:type="dxa" w:w="110"/>
              <w:right w:type="dxa" w:w="140"/>
            </w:tcMar>
          </w:tcPr>
          <w:p>
            <w:r>
              <w:rPr>
                <w:rFonts w:ascii="Calibri" w:cs="Calibri" w:eastAsia="Calibri" w:hAnsi="Calibri"/>
                <w:color w:val="12241C"/>
                <w:sz w:val="19"/>
                <w:szCs w:val="19"/>
              </w:rPr>
              <w:t xml:space="preserve">Facts observed; separate assumptions or allegations</w:t>
            </w:r>
          </w:p>
        </w:tc>
      </w:tr>
      <w:tr>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Immediate Action</w:t>
            </w:r>
          </w:p>
        </w:tc>
        <w:tc>
          <w:tcPr>
            <w:tcW w:type="dxa" w:w="6950"/>
            <w:shd w:fill="E7EFE9" w:val="clear"/>
            <w:tcMar>
              <w:top w:type="dxa" w:w="110"/>
              <w:left w:type="dxa" w:w="140"/>
              <w:bottom w:type="dxa" w:w="110"/>
              <w:right w:type="dxa" w:w="140"/>
            </w:tcMar>
          </w:tcPr>
          <w:p>
            <w:r>
              <w:rPr>
                <w:rFonts w:ascii="Calibri" w:cs="Calibri" w:eastAsia="Calibri" w:hAnsi="Calibri"/>
                <w:color w:val="12241C"/>
                <w:sz w:val="19"/>
                <w:szCs w:val="19"/>
              </w:rPr>
              <w:t xml:space="preserve">Safety, medical support, de-escalation and notification</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Evidence</w:t>
            </w:r>
          </w:p>
        </w:tc>
        <w:tc>
          <w:tcPr>
            <w:tcW w:type="dxa" w:w="6950"/>
            <w:shd w:fill="FFFFFF" w:val="clear"/>
            <w:tcMar>
              <w:top w:type="dxa" w:w="110"/>
              <w:left w:type="dxa" w:w="140"/>
              <w:bottom w:type="dxa" w:w="110"/>
              <w:right w:type="dxa" w:w="140"/>
            </w:tcMar>
          </w:tcPr>
          <w:p>
            <w:r>
              <w:rPr>
                <w:rFonts w:ascii="Calibri" w:cs="Calibri" w:eastAsia="Calibri" w:hAnsi="Calibri"/>
                <w:color w:val="12241C"/>
                <w:sz w:val="19"/>
                <w:szCs w:val="19"/>
              </w:rPr>
              <w:t xml:space="preserve">Secure location of lawful notes, images or records</w:t>
            </w:r>
          </w:p>
        </w:tc>
      </w:tr>
      <w:tr>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Classification</w:t>
            </w:r>
          </w:p>
        </w:tc>
        <w:tc>
          <w:tcPr>
            <w:tcW w:type="dxa" w:w="6950"/>
            <w:shd w:fill="E7EFE9" w:val="clear"/>
            <w:tcMar>
              <w:top w:type="dxa" w:w="110"/>
              <w:left w:type="dxa" w:w="140"/>
              <w:bottom w:type="dxa" w:w="110"/>
              <w:right w:type="dxa" w:w="140"/>
            </w:tcMar>
          </w:tcPr>
          <w:p>
            <w:r>
              <w:rPr>
                <w:rFonts w:ascii="Calibri" w:cs="Calibri" w:eastAsia="Calibri" w:hAnsi="Calibri"/>
                <w:color w:val="12241C"/>
                <w:sz w:val="19"/>
                <w:szCs w:val="19"/>
              </w:rPr>
              <w:t xml:space="preserve">Level 1, 2 or 3 and reason</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Follow-up</w:t>
            </w:r>
          </w:p>
        </w:tc>
        <w:tc>
          <w:tcPr>
            <w:tcW w:type="dxa" w:w="6950"/>
            <w:shd w:fill="FFFFFF" w:val="clear"/>
            <w:tcMar>
              <w:top w:type="dxa" w:w="110"/>
              <w:left w:type="dxa" w:w="140"/>
              <w:bottom w:type="dxa" w:w="110"/>
              <w:right w:type="dxa" w:w="140"/>
            </w:tcMar>
          </w:tcPr>
          <w:p>
            <w:r>
              <w:rPr>
                <w:rFonts w:ascii="Calibri" w:cs="Calibri" w:eastAsia="Calibri" w:hAnsi="Calibri"/>
                <w:color w:val="12241C"/>
                <w:sz w:val="19"/>
                <w:szCs w:val="19"/>
              </w:rPr>
              <w:t xml:space="preserve">Investigator, deadline, finding and corrective action</w:t>
            </w:r>
          </w:p>
        </w:tc>
      </w:tr>
    </w:tbl>
    <w:p>
      <w:pPr>
        <w:pStyle w:val="Heading2"/>
        <w:pBdr>
          <w:bottom w:val="single" w:color="C9A227" w:sz="4"/>
        </w:pBdr>
        <w:spacing w:after="120" w:before="320"/>
      </w:pPr>
      <w:r>
        <w:rPr>
          <w:rFonts w:ascii="Georgia" w:cs="Georgia" w:eastAsia="Georgia" w:hAnsi="Georgia"/>
          <w:b/>
          <w:bCs/>
          <w:color w:val="0B3D26"/>
          <w:sz w:val="27"/>
          <w:szCs w:val="27"/>
        </w:rPr>
        <w:t xml:space="preserve">Appendix G — Brand Standard</w:t>
      </w:r>
    </w:p>
    <w:tbl>
      <w:tblPr>
        <w:tblW w:type="pct" w:w="100%"/>
        <w:tblBorders>
          <w:top w:val="single" w:color="CCCCCC" w:sz="2"/>
          <w:left w:val="single" w:color="CCCCCC" w:sz="2"/>
          <w:bottom w:val="single" w:color="CCCCCC" w:sz="2"/>
          <w:right w:val="single" w:color="CCCCCC" w:sz="2"/>
          <w:insideH w:val="single" w:color="E3DFD3" w:sz="2"/>
          <w:insideV w:val="single" w:color="E3DFD3" w:sz="2"/>
        </w:tblBorders>
      </w:tblPr>
      <w:tblGrid>
        <w:gridCol w:w="2400"/>
        <w:gridCol w:w="6950"/>
      </w:tblGrid>
      <w:tr>
        <w:trPr>
          <w:tblHeader/>
        </w:trPr>
        <w:tc>
          <w:tcPr>
            <w:tcW w:type="dxa" w:w="24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Brand Element</w:t>
            </w:r>
          </w:p>
        </w:tc>
        <w:tc>
          <w:tcPr>
            <w:tcW w:type="dxa" w:w="695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Approved Standard</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Name</w:t>
            </w:r>
          </w:p>
        </w:tc>
        <w:tc>
          <w:tcPr>
            <w:tcW w:type="dxa" w:w="6950"/>
            <w:shd w:fill="FFFFFF" w:val="clear"/>
            <w:tcMar>
              <w:top w:type="dxa" w:w="110"/>
              <w:left w:type="dxa" w:w="140"/>
              <w:bottom w:type="dxa" w:w="110"/>
              <w:right w:type="dxa" w:w="140"/>
            </w:tcMar>
          </w:tcPr>
          <w:p>
            <w:r>
              <w:rPr>
                <w:rFonts w:ascii="Calibri" w:cs="Calibri" w:eastAsia="Calibri" w:hAnsi="Calibri"/>
                <w:color w:val="12241C"/>
                <w:sz w:val="19"/>
                <w:szCs w:val="19"/>
              </w:rPr>
              <w:t xml:space="preserve">Pakistan Cockroach Party (PCP)</w:t>
            </w:r>
          </w:p>
        </w:tc>
      </w:tr>
      <w:tr>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Primary slogan</w:t>
            </w:r>
          </w:p>
        </w:tc>
        <w:tc>
          <w:tcPr>
            <w:tcW w:type="dxa" w:w="6950"/>
            <w:shd w:fill="E7EFE9" w:val="clear"/>
            <w:tcMar>
              <w:top w:type="dxa" w:w="110"/>
              <w:left w:type="dxa" w:w="140"/>
              <w:bottom w:type="dxa" w:w="110"/>
              <w:right w:type="dxa" w:w="140"/>
            </w:tcMar>
          </w:tcPr>
          <w:p>
            <w:r>
              <w:rPr>
                <w:rFonts w:ascii="Calibri" w:cs="Calibri" w:eastAsia="Calibri" w:hAnsi="Calibri"/>
                <w:color w:val="12241C"/>
                <w:sz w:val="19"/>
                <w:szCs w:val="19"/>
              </w:rPr>
              <w:t xml:space="preserve">We Will Change the System, Pakistan Will Change</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National commitment</w:t>
            </w:r>
          </w:p>
        </w:tc>
        <w:tc>
          <w:tcPr>
            <w:tcW w:type="dxa" w:w="6950"/>
            <w:shd w:fill="FFFFFF" w:val="clear"/>
            <w:tcMar>
              <w:top w:type="dxa" w:w="110"/>
              <w:left w:type="dxa" w:w="140"/>
              <w:bottom w:type="dxa" w:w="110"/>
              <w:right w:type="dxa" w:w="140"/>
            </w:tcMar>
          </w:tcPr>
          <w:p>
            <w:r>
              <w:rPr>
                <w:rFonts w:ascii="Calibri" w:cs="Calibri" w:eastAsia="Calibri" w:hAnsi="Calibri"/>
                <w:color w:val="12241C"/>
                <w:sz w:val="19"/>
                <w:szCs w:val="19"/>
              </w:rPr>
              <w:t xml:space="preserve">Our loyalty is only to Pakistan, its Constitution and its people</w:t>
            </w:r>
          </w:p>
        </w:tc>
      </w:tr>
      <w:tr>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Colours</w:t>
            </w:r>
          </w:p>
        </w:tc>
        <w:tc>
          <w:tcPr>
            <w:tcW w:type="dxa" w:w="6950"/>
            <w:shd w:fill="E7EFE9" w:val="clear"/>
            <w:tcMar>
              <w:top w:type="dxa" w:w="110"/>
              <w:left w:type="dxa" w:w="140"/>
              <w:bottom w:type="dxa" w:w="110"/>
              <w:right w:type="dxa" w:w="140"/>
            </w:tcMar>
          </w:tcPr>
          <w:p>
            <w:r>
              <w:rPr>
                <w:rFonts w:ascii="Calibri" w:cs="Calibri" w:eastAsia="Calibri" w:hAnsi="Calibri"/>
                <w:color w:val="12241C"/>
                <w:sz w:val="19"/>
                <w:szCs w:val="19"/>
              </w:rPr>
              <w:t xml:space="preserve">Deep Pakistan green #0B3D26 · Antique gold #B8892E · Warm white #F6F1E4</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Typography</w:t>
            </w:r>
          </w:p>
        </w:tc>
        <w:tc>
          <w:tcPr>
            <w:tcW w:type="dxa" w:w="6950"/>
            <w:shd w:fill="FFFFFF" w:val="clear"/>
            <w:tcMar>
              <w:top w:type="dxa" w:w="110"/>
              <w:left w:type="dxa" w:w="140"/>
              <w:bottom w:type="dxa" w:w="110"/>
              <w:right w:type="dxa" w:w="140"/>
            </w:tcMar>
          </w:tcPr>
          <w:p>
            <w:r>
              <w:rPr>
                <w:rFonts w:ascii="Calibri" w:cs="Calibri" w:eastAsia="Calibri" w:hAnsi="Calibri"/>
                <w:color w:val="12241C"/>
                <w:sz w:val="19"/>
                <w:szCs w:val="19"/>
              </w:rPr>
              <w:t xml:space="preserve">Display: Georgia (bold). Body: Calibri. Data/labels: Consolas (mono).</w:t>
            </w:r>
          </w:p>
        </w:tc>
      </w:tr>
      <w:tr>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Visual style</w:t>
            </w:r>
          </w:p>
        </w:tc>
        <w:tc>
          <w:tcPr>
            <w:tcW w:type="dxa" w:w="6950"/>
            <w:shd w:fill="E7EFE9" w:val="clear"/>
            <w:tcMar>
              <w:top w:type="dxa" w:w="110"/>
              <w:left w:type="dxa" w:w="140"/>
              <w:bottom w:type="dxa" w:w="110"/>
              <w:right w:type="dxa" w:w="140"/>
            </w:tcMar>
          </w:tcPr>
          <w:p>
            <w:r>
              <w:rPr>
                <w:rFonts w:ascii="Calibri" w:cs="Calibri" w:eastAsia="Calibri" w:hAnsi="Calibri"/>
                <w:color w:val="12241C"/>
                <w:sz w:val="19"/>
                <w:szCs w:val="19"/>
              </w:rPr>
              <w:t xml:space="preserve">Bold, credible, youthful, minimal, human-made and mobile-readable</w:t>
            </w:r>
          </w:p>
        </w:tc>
      </w:tr>
      <w:tr>
        <w:tc>
          <w:tcPr>
            <w:tcW w:type="dxa" w:w="2400"/>
            <w:shd w:fill="FFFFFF" w:val="clear"/>
            <w:tcMar>
              <w:top w:type="dxa" w:w="110"/>
              <w:left w:type="dxa" w:w="140"/>
              <w:bottom w:type="dxa" w:w="110"/>
              <w:right w:type="dxa" w:w="140"/>
            </w:tcMar>
          </w:tcPr>
          <w:p>
            <w:r>
              <w:rPr>
                <w:rFonts w:ascii="Calibri" w:cs="Calibri" w:eastAsia="Calibri" w:hAnsi="Calibri"/>
                <w:color w:val="12241C"/>
                <w:sz w:val="19"/>
                <w:szCs w:val="19"/>
              </w:rPr>
              <w:t xml:space="preserve">Primary social account</w:t>
            </w:r>
          </w:p>
        </w:tc>
        <w:tc>
          <w:tcPr>
            <w:tcW w:type="dxa" w:w="6950"/>
            <w:shd w:fill="FFFFFF" w:val="clear"/>
            <w:tcMar>
              <w:top w:type="dxa" w:w="110"/>
              <w:left w:type="dxa" w:w="140"/>
              <w:bottom w:type="dxa" w:w="110"/>
              <w:right w:type="dxa" w:w="140"/>
            </w:tcMar>
          </w:tcPr>
          <w:p>
            <w:r>
              <w:rPr>
                <w:rFonts w:ascii="Calibri" w:cs="Calibri" w:eastAsia="Calibri" w:hAnsi="Calibri"/>
                <w:color w:val="12241C"/>
                <w:sz w:val="19"/>
                <w:szCs w:val="19"/>
              </w:rPr>
              <w:t xml:space="preserve">@pakistancockroach</w:t>
            </w:r>
          </w:p>
        </w:tc>
      </w:tr>
      <w:tr>
        <w:tc>
          <w:tcPr>
            <w:tcW w:type="dxa" w:w="2400"/>
            <w:shd w:fill="E7EFE9" w:val="clear"/>
            <w:tcMar>
              <w:top w:type="dxa" w:w="110"/>
              <w:left w:type="dxa" w:w="140"/>
              <w:bottom w:type="dxa" w:w="110"/>
              <w:right w:type="dxa" w:w="140"/>
            </w:tcMar>
          </w:tcPr>
          <w:p>
            <w:r>
              <w:rPr>
                <w:rFonts w:ascii="Calibri" w:cs="Calibri" w:eastAsia="Calibri" w:hAnsi="Calibri"/>
                <w:color w:val="12241C"/>
                <w:sz w:val="19"/>
                <w:szCs w:val="19"/>
              </w:rPr>
              <w:t xml:space="preserve">Symbol rule</w:t>
            </w:r>
          </w:p>
        </w:tc>
        <w:tc>
          <w:tcPr>
            <w:tcW w:type="dxa" w:w="6950"/>
            <w:shd w:fill="E7EFE9" w:val="clear"/>
            <w:tcMar>
              <w:top w:type="dxa" w:w="110"/>
              <w:left w:type="dxa" w:w="140"/>
              <w:bottom w:type="dxa" w:w="110"/>
              <w:right w:type="dxa" w:w="140"/>
            </w:tcMar>
          </w:tcPr>
          <w:p>
            <w:r>
              <w:rPr>
                <w:rFonts w:ascii="Calibri" w:cs="Calibri" w:eastAsia="Calibri" w:hAnsi="Calibri"/>
                <w:color w:val="12241C"/>
                <w:sz w:val="19"/>
                <w:szCs w:val="19"/>
              </w:rPr>
              <w:t xml:space="preserve">Cockroach represents PCP's own resilience; never used to dehumanise others</w:t>
            </w:r>
          </w:p>
        </w:tc>
      </w:tr>
    </w:tbl>
    <w:p>
      <w:pPr>
        <w:pStyle w:val="Heading2"/>
        <w:pBdr>
          <w:bottom w:val="single" w:color="C9A227" w:sz="4"/>
        </w:pBdr>
        <w:spacing w:after="120" w:before="320"/>
      </w:pPr>
      <w:r>
        <w:rPr>
          <w:rFonts w:ascii="Georgia" w:cs="Georgia" w:eastAsia="Georgia" w:hAnsi="Georgia"/>
          <w:b/>
          <w:bCs/>
          <w:color w:val="0B3D26"/>
          <w:sz w:val="27"/>
          <w:szCs w:val="27"/>
        </w:rPr>
        <w:t xml:space="preserve">Appendix H — Adoption and Review</w:t>
      </w:r>
    </w:p>
    <w:p>
      <w:pPr>
        <w:spacing w:after="160"/>
        <w:jc w:val="left"/>
      </w:pPr>
      <w:r>
        <w:rPr>
          <w:rFonts w:ascii="Calibri" w:cs="Calibri" w:eastAsia="Calibri" w:hAnsi="Calibri"/>
          <w:b w:val="false"/>
          <w:bCs w:val="false"/>
          <w:i w:val="false"/>
          <w:iCs w:val="false"/>
          <w:color w:val="12241C"/>
          <w:sz w:val="21"/>
          <w:szCs w:val="21"/>
        </w:rPr>
        <w:t xml:space="preserve">This document should be reviewed by independent Pakistani constitutional, election, political-party, tax, public-order, employment and data advisers before formal adoption. PCP should also conduct a documented public consultation and publish a response showing which proposals were accepted, modified or rejected and why.</w:t>
      </w:r>
    </w:p>
    <w:tbl>
      <w:tblPr>
        <w:tblW w:type="pct" w:w="100%"/>
        <w:tblBorders>
          <w:top w:val="single" w:color="CCCCCC" w:sz="2"/>
          <w:left w:val="single" w:color="CCCCCC" w:sz="2"/>
          <w:bottom w:val="single" w:color="CCCCCC" w:sz="2"/>
          <w:right w:val="single" w:color="CCCCCC" w:sz="2"/>
          <w:insideH w:val="single" w:color="E3DFD3" w:sz="2"/>
          <w:insideV w:val="single" w:color="E3DFD3" w:sz="2"/>
        </w:tblBorders>
      </w:tblPr>
      <w:tblGrid>
        <w:gridCol w:w="3400"/>
        <w:gridCol w:w="3200"/>
        <w:gridCol w:w="2750"/>
      </w:tblGrid>
      <w:tr>
        <w:trPr>
          <w:tblHeader/>
        </w:trPr>
        <w:tc>
          <w:tcPr>
            <w:tcW w:type="dxa" w:w="34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Approval Stage</w:t>
            </w:r>
          </w:p>
        </w:tc>
        <w:tc>
          <w:tcPr>
            <w:tcW w:type="dxa" w:w="320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Responsible Body</w:t>
            </w:r>
          </w:p>
        </w:tc>
        <w:tc>
          <w:tcPr>
            <w:tcW w:type="dxa" w:w="2750"/>
            <w:shd w:fill="0B3D26" w:val="clear"/>
            <w:tcMar>
              <w:top w:type="dxa" w:w="120"/>
              <w:left w:type="dxa" w:w="140"/>
              <w:bottom w:type="dxa" w:w="120"/>
              <w:right w:type="dxa" w:w="140"/>
            </w:tcMar>
            <w:vAlign w:val="center"/>
          </w:tcPr>
          <w:p>
            <w:r>
              <w:rPr>
                <w:rFonts w:ascii="Consolas" w:cs="Consolas" w:eastAsia="Consolas" w:hAnsi="Consolas"/>
                <w:b/>
                <w:bCs/>
                <w:color w:val="FFFFFF"/>
                <w:sz w:val="16"/>
                <w:szCs w:val="16"/>
              </w:rPr>
              <w:t xml:space="preserve">Date/Reference</w:t>
            </w:r>
          </w:p>
        </w:tc>
      </w:tr>
      <w:tr>
        <w:tc>
          <w:tcPr>
            <w:tcW w:type="dxa" w:w="3400"/>
            <w:shd w:fill="FFFFFF" w:val="clear"/>
            <w:tcMar>
              <w:top w:type="dxa" w:w="110"/>
              <w:left w:type="dxa" w:w="140"/>
              <w:bottom w:type="dxa" w:w="110"/>
              <w:right w:type="dxa" w:w="140"/>
            </w:tcMar>
          </w:tcPr>
          <w:p>
            <w:r>
              <w:rPr>
                <w:rFonts w:ascii="Calibri" w:cs="Calibri" w:eastAsia="Calibri" w:hAnsi="Calibri"/>
                <w:color w:val="12241C"/>
                <w:sz w:val="19"/>
                <w:szCs w:val="19"/>
              </w:rPr>
              <w:t xml:space="preserve">Public consultation draft issued</w:t>
            </w:r>
          </w:p>
        </w:tc>
        <w:tc>
          <w:tcPr>
            <w:tcW w:type="dxa" w:w="3200"/>
            <w:shd w:fill="FFFFFF" w:val="clear"/>
            <w:tcMar>
              <w:top w:type="dxa" w:w="110"/>
              <w:left w:type="dxa" w:w="140"/>
              <w:bottom w:type="dxa" w:w="110"/>
              <w:right w:type="dxa" w:w="140"/>
            </w:tcMar>
          </w:tcPr>
          <w:p>
            <w:r>
              <w:rPr>
                <w:rFonts w:ascii="Calibri" w:cs="Calibri" w:eastAsia="Calibri" w:hAnsi="Calibri"/>
                <w:color w:val="12241C"/>
                <w:sz w:val="19"/>
                <w:szCs w:val="19"/>
              </w:rPr>
              <w:t xml:space="preserve">Interim PCP Secretariat</w:t>
            </w:r>
          </w:p>
        </w:tc>
        <w:tc>
          <w:tcPr>
            <w:tcW w:type="dxa" w:w="2750"/>
            <w:shd w:fill="FFFFFF" w:val="clear"/>
            <w:tcMar>
              <w:top w:type="dxa" w:w="110"/>
              <w:left w:type="dxa" w:w="140"/>
              <w:bottom w:type="dxa" w:w="110"/>
              <w:right w:type="dxa" w:w="140"/>
            </w:tcMar>
          </w:tcPr>
          <w:p>
            <w:r>
              <w:rPr>
                <w:rFonts w:ascii="Calibri" w:cs="Calibri" w:eastAsia="Calibri" w:hAnsi="Calibri"/>
                <w:color w:val="12241C"/>
                <w:sz w:val="19"/>
                <w:szCs w:val="19"/>
              </w:rPr>
              <w:t xml:space="preserve">____________</w:t>
            </w:r>
          </w:p>
        </w:tc>
      </w:tr>
      <w:tr>
        <w:tc>
          <w:tcPr>
            <w:tcW w:type="dxa" w:w="3400"/>
            <w:shd w:fill="E7EFE9" w:val="clear"/>
            <w:tcMar>
              <w:top w:type="dxa" w:w="110"/>
              <w:left w:type="dxa" w:w="140"/>
              <w:bottom w:type="dxa" w:w="110"/>
              <w:right w:type="dxa" w:w="140"/>
            </w:tcMar>
          </w:tcPr>
          <w:p>
            <w:r>
              <w:rPr>
                <w:rFonts w:ascii="Calibri" w:cs="Calibri" w:eastAsia="Calibri" w:hAnsi="Calibri"/>
                <w:color w:val="12241C"/>
                <w:sz w:val="19"/>
                <w:szCs w:val="19"/>
              </w:rPr>
              <w:t xml:space="preserve">Independent legal review completed</w:t>
            </w:r>
          </w:p>
        </w:tc>
        <w:tc>
          <w:tcPr>
            <w:tcW w:type="dxa" w:w="3200"/>
            <w:shd w:fill="E7EFE9" w:val="clear"/>
            <w:tcMar>
              <w:top w:type="dxa" w:w="110"/>
              <w:left w:type="dxa" w:w="140"/>
              <w:bottom w:type="dxa" w:w="110"/>
              <w:right w:type="dxa" w:w="140"/>
            </w:tcMar>
          </w:tcPr>
          <w:p>
            <w:r>
              <w:rPr>
                <w:rFonts w:ascii="Calibri" w:cs="Calibri" w:eastAsia="Calibri" w:hAnsi="Calibri"/>
                <w:color w:val="12241C"/>
                <w:sz w:val="19"/>
                <w:szCs w:val="19"/>
              </w:rPr>
              <w:t xml:space="preserve">Appointed legal counsel</w:t>
            </w:r>
          </w:p>
        </w:tc>
        <w:tc>
          <w:tcPr>
            <w:tcW w:type="dxa" w:w="2750"/>
            <w:shd w:fill="E7EFE9" w:val="clear"/>
            <w:tcMar>
              <w:top w:type="dxa" w:w="110"/>
              <w:left w:type="dxa" w:w="140"/>
              <w:bottom w:type="dxa" w:w="110"/>
              <w:right w:type="dxa" w:w="140"/>
            </w:tcMar>
          </w:tcPr>
          <w:p>
            <w:r>
              <w:rPr>
                <w:rFonts w:ascii="Calibri" w:cs="Calibri" w:eastAsia="Calibri" w:hAnsi="Calibri"/>
                <w:color w:val="12241C"/>
                <w:sz w:val="19"/>
                <w:szCs w:val="19"/>
              </w:rPr>
              <w:t xml:space="preserve">____________</w:t>
            </w:r>
          </w:p>
        </w:tc>
      </w:tr>
      <w:tr>
        <w:tc>
          <w:tcPr>
            <w:tcW w:type="dxa" w:w="3400"/>
            <w:shd w:fill="FFFFFF" w:val="clear"/>
            <w:tcMar>
              <w:top w:type="dxa" w:w="110"/>
              <w:left w:type="dxa" w:w="140"/>
              <w:bottom w:type="dxa" w:w="110"/>
              <w:right w:type="dxa" w:w="140"/>
            </w:tcMar>
          </w:tcPr>
          <w:p>
            <w:r>
              <w:rPr>
                <w:rFonts w:ascii="Calibri" w:cs="Calibri" w:eastAsia="Calibri" w:hAnsi="Calibri"/>
                <w:color w:val="12241C"/>
                <w:sz w:val="19"/>
                <w:szCs w:val="19"/>
              </w:rPr>
              <w:t xml:space="preserve">Finance and data controls approved</w:t>
            </w:r>
          </w:p>
        </w:tc>
        <w:tc>
          <w:tcPr>
            <w:tcW w:type="dxa" w:w="3200"/>
            <w:shd w:fill="FFFFFF" w:val="clear"/>
            <w:tcMar>
              <w:top w:type="dxa" w:w="110"/>
              <w:left w:type="dxa" w:w="140"/>
              <w:bottom w:type="dxa" w:w="110"/>
              <w:right w:type="dxa" w:w="140"/>
            </w:tcMar>
          </w:tcPr>
          <w:p>
            <w:r>
              <w:rPr>
                <w:rFonts w:ascii="Calibri" w:cs="Calibri" w:eastAsia="Calibri" w:hAnsi="Calibri"/>
                <w:color w:val="12241C"/>
                <w:sz w:val="19"/>
                <w:szCs w:val="19"/>
              </w:rPr>
              <w:t xml:space="preserve">Executive/Integrity bodies</w:t>
            </w:r>
          </w:p>
        </w:tc>
        <w:tc>
          <w:tcPr>
            <w:tcW w:type="dxa" w:w="2750"/>
            <w:shd w:fill="FFFFFF" w:val="clear"/>
            <w:tcMar>
              <w:top w:type="dxa" w:w="110"/>
              <w:left w:type="dxa" w:w="140"/>
              <w:bottom w:type="dxa" w:w="110"/>
              <w:right w:type="dxa" w:w="140"/>
            </w:tcMar>
          </w:tcPr>
          <w:p>
            <w:r>
              <w:rPr>
                <w:rFonts w:ascii="Calibri" w:cs="Calibri" w:eastAsia="Calibri" w:hAnsi="Calibri"/>
                <w:color w:val="12241C"/>
                <w:sz w:val="19"/>
                <w:szCs w:val="19"/>
              </w:rPr>
              <w:t xml:space="preserve">____________</w:t>
            </w:r>
          </w:p>
        </w:tc>
      </w:tr>
      <w:tr>
        <w:tc>
          <w:tcPr>
            <w:tcW w:type="dxa" w:w="3400"/>
            <w:shd w:fill="E7EFE9" w:val="clear"/>
            <w:tcMar>
              <w:top w:type="dxa" w:w="110"/>
              <w:left w:type="dxa" w:w="140"/>
              <w:bottom w:type="dxa" w:w="110"/>
              <w:right w:type="dxa" w:w="140"/>
            </w:tcMar>
          </w:tcPr>
          <w:p>
            <w:r>
              <w:rPr>
                <w:rFonts w:ascii="Calibri" w:cs="Calibri" w:eastAsia="Calibri" w:hAnsi="Calibri"/>
                <w:color w:val="12241C"/>
                <w:sz w:val="19"/>
                <w:szCs w:val="19"/>
              </w:rPr>
              <w:t xml:space="preserve">Manifesto adopted</w:t>
            </w:r>
          </w:p>
        </w:tc>
        <w:tc>
          <w:tcPr>
            <w:tcW w:type="dxa" w:w="3200"/>
            <w:shd w:fill="E7EFE9" w:val="clear"/>
            <w:tcMar>
              <w:top w:type="dxa" w:w="110"/>
              <w:left w:type="dxa" w:w="140"/>
              <w:bottom w:type="dxa" w:w="110"/>
              <w:right w:type="dxa" w:w="140"/>
            </w:tcMar>
          </w:tcPr>
          <w:p>
            <w:r>
              <w:rPr>
                <w:rFonts w:ascii="Calibri" w:cs="Calibri" w:eastAsia="Calibri" w:hAnsi="Calibri"/>
                <w:color w:val="12241C"/>
                <w:sz w:val="19"/>
                <w:szCs w:val="19"/>
              </w:rPr>
              <w:t xml:space="preserve">National General Council</w:t>
            </w:r>
          </w:p>
        </w:tc>
        <w:tc>
          <w:tcPr>
            <w:tcW w:type="dxa" w:w="2750"/>
            <w:shd w:fill="E7EFE9" w:val="clear"/>
            <w:tcMar>
              <w:top w:type="dxa" w:w="110"/>
              <w:left w:type="dxa" w:w="140"/>
              <w:bottom w:type="dxa" w:w="110"/>
              <w:right w:type="dxa" w:w="140"/>
            </w:tcMar>
          </w:tcPr>
          <w:p>
            <w:r>
              <w:rPr>
                <w:rFonts w:ascii="Calibri" w:cs="Calibri" w:eastAsia="Calibri" w:hAnsi="Calibri"/>
                <w:color w:val="12241C"/>
                <w:sz w:val="19"/>
                <w:szCs w:val="19"/>
              </w:rPr>
              <w:t xml:space="preserve">____________</w:t>
            </w:r>
          </w:p>
        </w:tc>
      </w:tr>
      <w:tr>
        <w:tc>
          <w:tcPr>
            <w:tcW w:type="dxa" w:w="3400"/>
            <w:shd w:fill="FFFFFF" w:val="clear"/>
            <w:tcMar>
              <w:top w:type="dxa" w:w="110"/>
              <w:left w:type="dxa" w:w="140"/>
              <w:bottom w:type="dxa" w:w="110"/>
              <w:right w:type="dxa" w:w="140"/>
            </w:tcMar>
          </w:tcPr>
          <w:p>
            <w:r>
              <w:rPr>
                <w:rFonts w:ascii="Calibri" w:cs="Calibri" w:eastAsia="Calibri" w:hAnsi="Calibri"/>
                <w:color w:val="12241C"/>
                <w:sz w:val="19"/>
                <w:szCs w:val="19"/>
              </w:rPr>
              <w:t xml:space="preserve">Manual adopted</w:t>
            </w:r>
          </w:p>
        </w:tc>
        <w:tc>
          <w:tcPr>
            <w:tcW w:type="dxa" w:w="3200"/>
            <w:shd w:fill="FFFFFF" w:val="clear"/>
            <w:tcMar>
              <w:top w:type="dxa" w:w="110"/>
              <w:left w:type="dxa" w:w="140"/>
              <w:bottom w:type="dxa" w:w="110"/>
              <w:right w:type="dxa" w:w="140"/>
            </w:tcMar>
          </w:tcPr>
          <w:p>
            <w:r>
              <w:rPr>
                <w:rFonts w:ascii="Calibri" w:cs="Calibri" w:eastAsia="Calibri" w:hAnsi="Calibri"/>
                <w:color w:val="12241C"/>
                <w:sz w:val="19"/>
                <w:szCs w:val="19"/>
              </w:rPr>
              <w:t xml:space="preserve">National General Council</w:t>
            </w:r>
          </w:p>
        </w:tc>
        <w:tc>
          <w:tcPr>
            <w:tcW w:type="dxa" w:w="2750"/>
            <w:shd w:fill="FFFFFF" w:val="clear"/>
            <w:tcMar>
              <w:top w:type="dxa" w:w="110"/>
              <w:left w:type="dxa" w:w="140"/>
              <w:bottom w:type="dxa" w:w="110"/>
              <w:right w:type="dxa" w:w="140"/>
            </w:tcMar>
          </w:tcPr>
          <w:p>
            <w:r>
              <w:rPr>
                <w:rFonts w:ascii="Calibri" w:cs="Calibri" w:eastAsia="Calibri" w:hAnsi="Calibri"/>
                <w:color w:val="12241C"/>
                <w:sz w:val="19"/>
                <w:szCs w:val="19"/>
              </w:rPr>
              <w:t xml:space="preserve">____________</w:t>
            </w:r>
          </w:p>
        </w:tc>
      </w:tr>
      <w:tr>
        <w:tc>
          <w:tcPr>
            <w:tcW w:type="dxa" w:w="3400"/>
            <w:shd w:fill="E7EFE9" w:val="clear"/>
            <w:tcMar>
              <w:top w:type="dxa" w:w="110"/>
              <w:left w:type="dxa" w:w="140"/>
              <w:bottom w:type="dxa" w:w="110"/>
              <w:right w:type="dxa" w:w="140"/>
            </w:tcMar>
          </w:tcPr>
          <w:p>
            <w:r>
              <w:rPr>
                <w:rFonts w:ascii="Calibri" w:cs="Calibri" w:eastAsia="Calibri" w:hAnsi="Calibri"/>
                <w:color w:val="12241C"/>
                <w:sz w:val="19"/>
                <w:szCs w:val="19"/>
              </w:rPr>
              <w:t xml:space="preserve">Next mandatory review</w:t>
            </w:r>
          </w:p>
        </w:tc>
        <w:tc>
          <w:tcPr>
            <w:tcW w:type="dxa" w:w="3200"/>
            <w:shd w:fill="E7EFE9" w:val="clear"/>
            <w:tcMar>
              <w:top w:type="dxa" w:w="110"/>
              <w:left w:type="dxa" w:w="140"/>
              <w:bottom w:type="dxa" w:w="110"/>
              <w:right w:type="dxa" w:w="140"/>
            </w:tcMar>
          </w:tcPr>
          <w:p>
            <w:r>
              <w:rPr>
                <w:rFonts w:ascii="Calibri" w:cs="Calibri" w:eastAsia="Calibri" w:hAnsi="Calibri"/>
                <w:color w:val="12241C"/>
                <w:sz w:val="19"/>
                <w:szCs w:val="19"/>
              </w:rPr>
              <w:t xml:space="preserve">Within twelve months</w:t>
            </w:r>
          </w:p>
        </w:tc>
        <w:tc>
          <w:tcPr>
            <w:tcW w:type="dxa" w:w="2750"/>
            <w:shd w:fill="E7EFE9" w:val="clear"/>
            <w:tcMar>
              <w:top w:type="dxa" w:w="110"/>
              <w:left w:type="dxa" w:w="140"/>
              <w:bottom w:type="dxa" w:w="110"/>
              <w:right w:type="dxa" w:w="140"/>
            </w:tcMar>
          </w:tcPr>
          <w:p>
            <w:r>
              <w:rPr>
                <w:rFonts w:ascii="Calibri" w:cs="Calibri" w:eastAsia="Calibri" w:hAnsi="Calibri"/>
                <w:color w:val="12241C"/>
                <w:sz w:val="19"/>
                <w:szCs w:val="19"/>
              </w:rPr>
              <w:t xml:space="preserve">____________</w:t>
            </w:r>
          </w:p>
        </w:tc>
      </w:tr>
    </w:tbl>
    <w:p>
      <w:pPr>
        <w:spacing w:before="400"/>
      </w:pPr>
    </w:p>
    <w:p>
      <w:pPr>
        <w:jc w:val="center"/>
      </w:pPr>
      <w:r>
        <w:rPr>
          <w:rFonts w:ascii="Consolas" w:cs="Consolas" w:eastAsia="Consolas" w:hAnsi="Consolas"/>
          <w:b/>
          <w:bCs/>
          <w:color w:val="B8892E"/>
          <w:spacing w:val="20"/>
          <w:sz w:val="20"/>
          <w:szCs w:val="20"/>
        </w:rPr>
        <w:t xml:space="preserve">END OF DOCUMENT</w:t>
      </w:r>
    </w:p>
    <w:p>
      <w:pPr>
        <w:spacing w:before="80"/>
        <w:jc w:val="center"/>
      </w:pPr>
      <w:r>
        <w:rPr>
          <w:rFonts w:ascii="Calibri" w:cs="Calibri" w:eastAsia="Calibri" w:hAnsi="Calibri"/>
          <w:color w:val="45564A"/>
          <w:sz w:val="18"/>
          <w:szCs w:val="18"/>
        </w:rPr>
        <w:t xml:space="preserve">Pakistan Cockroach Party  ·  @pakistancockroach</w:t>
      </w:r>
    </w:p>
    <w:sectPr>
      <w:headerReference w:type="default" r:id="rId7"/>
      <w:footerReference w:type="default" r:id="rId8"/>
      <w:pgSz w:w="11908" w:h="16833"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8892E" w:sz="4"/>
      </w:pBdr>
      <w:tabs>
        <w:tab w:val="right" w:pos="9350"/>
      </w:tabs>
    </w:pPr>
    <w:r>
      <w:rPr>
        <w:rFonts w:ascii="Consolas" w:cs="Consolas" w:eastAsia="Consolas" w:hAnsi="Consolas"/>
        <w:color w:val="45564A"/>
        <w:sz w:val="15"/>
        <w:szCs w:val="15"/>
      </w:rPr>
      <w:t xml:space="preserve">We Will Change the System, Pakistan Will Change</w:t>
    </w:r>
    <w:r>
      <w:rPr>
        <w:rFonts w:ascii="Consolas" w:cs="Consolas" w:eastAsia="Consolas" w:hAnsi="Consolas"/>
        <w:color w:val="45564A"/>
        <w:sz w:val="15"/>
        <w:szCs w:val="15"/>
      </w:rPr>
      <w:t xml:space="preserve">	Page </w:t>
    </w:r>
    <w:r>
      <w:rPr>
        <w:rFonts w:ascii="Consolas" w:cs="Consolas" w:eastAsia="Consolas" w:hAnsi="Consolas"/>
        <w:color w:val="45564A"/>
        <w:sz w:val="15"/>
        <w:szCs w:val="15"/>
      </w:rPr>
      <w:fldChar w:fldCharType="begin"/>
      <w:instrText xml:space="preserve">PAGE</w:instrText>
      <w:fldChar w:fldCharType="separate"/>
      <w:fldChar w:fldCharType="end"/>
    </w:r>
    <w:r>
      <w:rPr>
        <w:rFonts w:ascii="Consolas" w:cs="Consolas" w:eastAsia="Consolas" w:hAnsi="Consolas"/>
        <w:color w:val="45564A"/>
        <w:sz w:val="15"/>
        <w:szCs w:val="15"/>
      </w:rPr>
      <w:t xml:space="preserve"> / </w:t>
    </w:r>
    <w:r>
      <w:rPr>
        <w:rFonts w:ascii="Consolas" w:cs="Consolas" w:eastAsia="Consolas" w:hAnsi="Consolas"/>
        <w:color w:val="45564A"/>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892E" w:sz="4"/>
      </w:pBdr>
      <w:tabs>
        <w:tab w:val="right" w:pos="9350"/>
      </w:tabs>
    </w:pPr>
    <w:r>
      <w:rPr>
        <w:rFonts w:ascii="Consolas" w:cs="Consolas" w:eastAsia="Consolas" w:hAnsi="Consolas"/>
        <w:b/>
        <w:bCs/>
        <w:color w:val="0B3D26"/>
        <w:sz w:val="16"/>
        <w:szCs w:val="16"/>
      </w:rPr>
      <w:t xml:space="preserve">PCP</w:t>
    </w:r>
    <w:r>
      <w:rPr>
        <w:rFonts w:ascii="Consolas" w:cs="Consolas" w:eastAsia="Consolas" w:hAnsi="Consolas"/>
        <w:color w:val="45564A"/>
        <w:sz w:val="16"/>
        <w:szCs w:val="16"/>
      </w:rPr>
      <w:t xml:space="preserve">	MOVEMENT MANUAL — FULL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rPr>
        <w:rFonts w:ascii="Calibri" w:cs="Calibri" w:eastAsia="Calibri" w:hAnsi="Calibri"/>
        <w:color w:val="B8892E"/>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0d72a53123d738ec5eba646e2eb432c3c4348612.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2026-07-30T21:14:30.781Z</dcterms:created>
  <dcterms:modified xsi:type="dcterms:W3CDTF">2026-07-30T21:14:30.781Z</dcterms:modified>
</cp:coreProperties>
</file>

<file path=docProps/custom.xml><?xml version="1.0" encoding="utf-8"?>
<Properties xmlns="http://schemas.openxmlformats.org/officeDocument/2006/custom-properties" xmlns:vt="http://schemas.openxmlformats.org/officeDocument/2006/docPropsVTypes"/>
</file>